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1"/>
        <w:spacing w:after="240" w:before="360" w:lineRule="auto"/>
        <w:ind w:hanging="180"/>
        <w:jc w:val="both"/>
        <w:rPr>
          <w:b w:val="1"/>
          <w:color w:val="0092d1"/>
          <w:sz w:val="22"/>
          <w:szCs w:val="22"/>
        </w:rPr>
      </w:pPr>
      <w:bookmarkStart w:colFirst="0" w:colLast="0" w:name="_heading=h.gjdgxs" w:id="0"/>
      <w:bookmarkEnd w:id="0"/>
      <w:r w:rsidDel="00000000" w:rsidR="00000000" w:rsidRPr="00000000">
        <w:rPr>
          <w:b w:val="1"/>
          <w:color w:val="0092d1"/>
          <w:sz w:val="22"/>
          <w:szCs w:val="22"/>
          <w:rtl w:val="0"/>
        </w:rPr>
        <w:t xml:space="preserve">Section II: Schedule of Requirements - RFQ/2021/34661</w:t>
      </w:r>
    </w:p>
    <w:p w:rsidR="00000000" w:rsidDel="00000000" w:rsidP="00000000" w:rsidRDefault="00000000" w:rsidRPr="00000000" w14:paraId="00000002">
      <w:pPr>
        <w:keepNext w:val="1"/>
        <w:keepLines w:val="1"/>
        <w:spacing w:after="240" w:before="360" w:lineRule="auto"/>
        <w:ind w:left="-180" w:firstLine="0"/>
        <w:jc w:val="both"/>
        <w:rPr>
          <w:b w:val="1"/>
          <w:sz w:val="22"/>
          <w:szCs w:val="22"/>
        </w:rPr>
      </w:pPr>
      <w:bookmarkStart w:colFirst="0" w:colLast="0" w:name="_heading=h.30j0zll" w:id="1"/>
      <w:bookmarkEnd w:id="1"/>
      <w:r w:rsidDel="00000000" w:rsidR="00000000" w:rsidRPr="00000000">
        <w:rPr>
          <w:b w:val="1"/>
          <w:sz w:val="22"/>
          <w:szCs w:val="22"/>
          <w:rtl w:val="0"/>
        </w:rPr>
        <w:t xml:space="preserve">This Request for quotations is for the Supply and Delivery of Handcuffs for the Criminal Investigation Department (CID) in Mogadishu, Somalia as described in the table below.</w:t>
      </w:r>
    </w:p>
    <w:tbl>
      <w:tblPr>
        <w:tblStyle w:val="Table1"/>
        <w:tblW w:w="10095.0" w:type="dxa"/>
        <w:jc w:val="left"/>
        <w:tblInd w:w="-170.0" w:type="dxa"/>
        <w:tblLayout w:type="fixed"/>
        <w:tblLook w:val="0600"/>
      </w:tblPr>
      <w:tblGrid>
        <w:gridCol w:w="810"/>
        <w:gridCol w:w="6495"/>
        <w:gridCol w:w="1320"/>
        <w:gridCol w:w="1470"/>
        <w:tblGridChange w:id="0">
          <w:tblGrid>
            <w:gridCol w:w="810"/>
            <w:gridCol w:w="6495"/>
            <w:gridCol w:w="1320"/>
            <w:gridCol w:w="1470"/>
          </w:tblGrid>
        </w:tblGridChange>
      </w:tblGrid>
      <w:tr>
        <w:trPr>
          <w:cantSplit w:val="0"/>
          <w:trHeight w:val="945" w:hRule="atLeast"/>
          <w:tblHeader w:val="0"/>
        </w:trPr>
        <w:tc>
          <w:tcPr>
            <w:tcBorders>
              <w:top w:color="222222" w:space="0" w:sz="8" w:val="single"/>
              <w:left w:color="222222" w:space="0" w:sz="8" w:val="single"/>
              <w:bottom w:color="222222" w:space="0" w:sz="8" w:val="single"/>
              <w:right w:color="222222" w:space="0" w:sz="8" w:val="single"/>
            </w:tcBorders>
            <w:shd w:fill="ffffff" w:val="clear"/>
            <w:tcMar>
              <w:top w:w="0.0" w:type="dxa"/>
              <w:left w:w="40.0" w:type="dxa"/>
              <w:bottom w:w="0.0" w:type="dxa"/>
              <w:right w:w="40.0" w:type="dxa"/>
            </w:tcMar>
            <w:vAlign w:val="center"/>
          </w:tcPr>
          <w:p w:rsidR="00000000" w:rsidDel="00000000" w:rsidP="00000000" w:rsidRDefault="00000000" w:rsidRPr="00000000" w14:paraId="00000003">
            <w:pPr>
              <w:widowControl w:val="0"/>
              <w:spacing w:line="276" w:lineRule="auto"/>
              <w:jc w:val="both"/>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No</w:t>
            </w:r>
            <w:r w:rsidDel="00000000" w:rsidR="00000000" w:rsidRPr="00000000">
              <w:rPr>
                <w:rtl w:val="0"/>
              </w:rPr>
            </w:r>
          </w:p>
        </w:tc>
        <w:tc>
          <w:tcPr>
            <w:tcBorders>
              <w:top w:color="222222" w:space="0" w:sz="8" w:val="single"/>
              <w:left w:color="222222" w:space="0" w:sz="8" w:val="single"/>
              <w:bottom w:color="222222" w:space="0" w:sz="8" w:val="single"/>
              <w:right w:color="222222" w:space="0" w:sz="8" w:val="single"/>
            </w:tcBorders>
            <w:shd w:fill="ffffff" w:val="clear"/>
            <w:tcMar>
              <w:top w:w="0.0" w:type="dxa"/>
              <w:left w:w="40.0" w:type="dxa"/>
              <w:bottom w:w="0.0" w:type="dxa"/>
              <w:right w:w="40.0" w:type="dxa"/>
            </w:tcMar>
            <w:vAlign w:val="center"/>
          </w:tcPr>
          <w:p w:rsidR="00000000" w:rsidDel="00000000" w:rsidP="00000000" w:rsidRDefault="00000000" w:rsidRPr="00000000" w14:paraId="00000004">
            <w:pPr>
              <w:widowControl w:val="0"/>
              <w:spacing w:line="276" w:lineRule="auto"/>
              <w:jc w:val="both"/>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Minimum Specification and indicative photo</w:t>
            </w:r>
            <w:r w:rsidDel="00000000" w:rsidR="00000000" w:rsidRPr="00000000">
              <w:rPr>
                <w:rtl w:val="0"/>
              </w:rPr>
            </w:r>
          </w:p>
        </w:tc>
        <w:tc>
          <w:tcPr>
            <w:tcBorders>
              <w:top w:color="222222" w:space="0" w:sz="8" w:val="single"/>
              <w:left w:color="222222" w:space="0" w:sz="8" w:val="single"/>
              <w:bottom w:color="222222" w:space="0" w:sz="8" w:val="single"/>
              <w:right w:color="222222" w:space="0" w:sz="8" w:val="single"/>
            </w:tcBorders>
            <w:tcMar>
              <w:top w:w="0.0" w:type="dxa"/>
              <w:left w:w="40.0" w:type="dxa"/>
              <w:bottom w:w="0.0" w:type="dxa"/>
              <w:right w:w="40.0" w:type="dxa"/>
            </w:tcMar>
            <w:vAlign w:val="center"/>
          </w:tcPr>
          <w:p w:rsidR="00000000" w:rsidDel="00000000" w:rsidP="00000000" w:rsidRDefault="00000000" w:rsidRPr="00000000" w14:paraId="00000005">
            <w:pPr>
              <w:widowControl w:val="0"/>
              <w:spacing w:line="276" w:lineRule="auto"/>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Unit of Measure</w:t>
            </w:r>
            <w:r w:rsidDel="00000000" w:rsidR="00000000" w:rsidRPr="00000000">
              <w:rPr>
                <w:rtl w:val="0"/>
              </w:rPr>
            </w:r>
          </w:p>
        </w:tc>
        <w:tc>
          <w:tcPr>
            <w:tcBorders>
              <w:top w:color="222222" w:space="0" w:sz="8" w:val="single"/>
              <w:left w:color="222222" w:space="0" w:sz="8" w:val="single"/>
              <w:bottom w:color="222222" w:space="0" w:sz="8" w:val="single"/>
              <w:right w:color="222222" w:space="0" w:sz="8" w:val="single"/>
            </w:tcBorders>
            <w:tcMar>
              <w:top w:w="0.0" w:type="dxa"/>
              <w:left w:w="40.0" w:type="dxa"/>
              <w:bottom w:w="0.0" w:type="dxa"/>
              <w:right w:w="40.0" w:type="dxa"/>
            </w:tcMar>
            <w:vAlign w:val="center"/>
          </w:tcPr>
          <w:p w:rsidR="00000000" w:rsidDel="00000000" w:rsidP="00000000" w:rsidRDefault="00000000" w:rsidRPr="00000000" w14:paraId="00000006">
            <w:pPr>
              <w:widowControl w:val="0"/>
              <w:spacing w:line="276" w:lineRule="auto"/>
              <w:jc w:val="both"/>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Quantity</w:t>
            </w:r>
            <w:r w:rsidDel="00000000" w:rsidR="00000000" w:rsidRPr="00000000">
              <w:rPr>
                <w:rtl w:val="0"/>
              </w:rPr>
            </w:r>
          </w:p>
        </w:tc>
      </w:tr>
      <w:tr>
        <w:trPr>
          <w:cantSplit w:val="0"/>
          <w:trHeight w:val="6105" w:hRule="atLeast"/>
          <w:tblHeader w:val="0"/>
        </w:trPr>
        <w:tc>
          <w:tcPr>
            <w:tcBorders>
              <w:top w:color="222222" w:space="0" w:sz="8" w:val="single"/>
              <w:left w:color="222222" w:space="0" w:sz="8" w:val="single"/>
              <w:bottom w:color="222222" w:space="0" w:sz="8" w:val="single"/>
              <w:right w:color="222222" w:space="0" w:sz="8" w:val="single"/>
            </w:tcBorders>
            <w:tcMar>
              <w:top w:w="0.0" w:type="dxa"/>
              <w:left w:w="40.0" w:type="dxa"/>
              <w:bottom w:w="0.0" w:type="dxa"/>
              <w:right w:w="40.0" w:type="dxa"/>
            </w:tcMar>
            <w:vAlign w:val="center"/>
          </w:tcPr>
          <w:p w:rsidR="00000000" w:rsidDel="00000000" w:rsidP="00000000" w:rsidRDefault="00000000" w:rsidRPr="00000000" w14:paraId="00000007">
            <w:pPr>
              <w:widowControl w:val="0"/>
              <w:spacing w:line="276" w:lineRule="auto"/>
              <w:jc w:val="both"/>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1</w:t>
            </w:r>
            <w:r w:rsidDel="00000000" w:rsidR="00000000" w:rsidRPr="00000000">
              <w:rPr>
                <w:rtl w:val="0"/>
              </w:rPr>
            </w:r>
          </w:p>
        </w:tc>
        <w:tc>
          <w:tcPr>
            <w:tcBorders>
              <w:top w:color="222222" w:space="0" w:sz="8" w:val="single"/>
              <w:left w:color="222222" w:space="0" w:sz="8" w:val="single"/>
              <w:bottom w:color="222222" w:space="0" w:sz="8" w:val="single"/>
              <w:right w:color="222222" w:space="0" w:sz="8" w:val="single"/>
            </w:tcBorders>
            <w:tcMar>
              <w:top w:w="0.0" w:type="dxa"/>
              <w:left w:w="40.0" w:type="dxa"/>
              <w:bottom w:w="0.0" w:type="dxa"/>
              <w:right w:w="40.0" w:type="dxa"/>
            </w:tcMar>
            <w:vAlign w:val="top"/>
          </w:tcPr>
          <w:p w:rsidR="00000000" w:rsidDel="00000000" w:rsidP="00000000" w:rsidRDefault="00000000" w:rsidRPr="00000000" w14:paraId="00000008">
            <w:pPr>
              <w:widowControl w:val="0"/>
              <w:spacing w:line="276" w:lineRule="auto"/>
              <w:ind w:right="225"/>
              <w:jc w:val="both"/>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Handcuff Description:</w:t>
            </w:r>
          </w:p>
          <w:p w:rsidR="00000000" w:rsidDel="00000000" w:rsidP="00000000" w:rsidRDefault="00000000" w:rsidRPr="00000000" w14:paraId="00000009">
            <w:pPr>
              <w:widowControl w:val="0"/>
              <w:spacing w:line="276" w:lineRule="auto"/>
              <w:ind w:right="225"/>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 ring-shaped shackle for the wrist, usually one of a pair connected by a short chain or linked bar.</w:t>
            </w:r>
          </w:p>
          <w:p w:rsidR="00000000" w:rsidDel="00000000" w:rsidP="00000000" w:rsidRDefault="00000000" w:rsidRPr="00000000" w14:paraId="0000000A">
            <w:pPr>
              <w:widowControl w:val="0"/>
              <w:spacing w:line="276" w:lineRule="auto"/>
              <w:ind w:right="225"/>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0B">
            <w:pPr>
              <w:widowControl w:val="0"/>
              <w:spacing w:line="276" w:lineRule="auto"/>
              <w:ind w:right="225"/>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 typical pair of handcuffs is shown in figure 1.</w:t>
            </w:r>
          </w:p>
          <w:p w:rsidR="00000000" w:rsidDel="00000000" w:rsidP="00000000" w:rsidRDefault="00000000" w:rsidRPr="00000000" w14:paraId="0000000C">
            <w:pPr>
              <w:widowControl w:val="0"/>
              <w:spacing w:line="276" w:lineRule="auto"/>
              <w:ind w:right="225"/>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0D">
            <w:pPr>
              <w:widowControl w:val="0"/>
              <w:spacing w:line="276" w:lineRule="auto"/>
              <w:ind w:right="225"/>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Pr>
              <w:drawing>
                <wp:inline distB="114300" distT="114300" distL="114300" distR="114300">
                  <wp:extent cx="3081338" cy="3159149"/>
                  <wp:effectExtent b="0" l="0" r="0" t="0"/>
                  <wp:docPr id="5" name="image2.png"/>
                  <a:graphic>
                    <a:graphicData uri="http://schemas.openxmlformats.org/drawingml/2006/picture">
                      <pic:pic>
                        <pic:nvPicPr>
                          <pic:cNvPr id="0" name="image2.png"/>
                          <pic:cNvPicPr preferRelativeResize="0"/>
                        </pic:nvPicPr>
                        <pic:blipFill>
                          <a:blip r:embed="rId7"/>
                          <a:srcRect b="20046" l="23717" r="44551" t="18840"/>
                          <a:stretch>
                            <a:fillRect/>
                          </a:stretch>
                        </pic:blipFill>
                        <pic:spPr>
                          <a:xfrm>
                            <a:off x="0" y="0"/>
                            <a:ext cx="3081338" cy="3159149"/>
                          </a:xfrm>
                          <a:prstGeom prst="rect"/>
                          <a:ln/>
                        </pic:spPr>
                      </pic:pic>
                    </a:graphicData>
                  </a:graphic>
                </wp:inline>
              </w:drawing>
            </w:r>
            <w:r w:rsidDel="00000000" w:rsidR="00000000" w:rsidRPr="00000000">
              <w:rPr>
                <w:rtl w:val="0"/>
              </w:rPr>
            </w:r>
          </w:p>
          <w:p w:rsidR="00000000" w:rsidDel="00000000" w:rsidP="00000000" w:rsidRDefault="00000000" w:rsidRPr="00000000" w14:paraId="0000000E">
            <w:pPr>
              <w:widowControl w:val="0"/>
              <w:spacing w:line="276" w:lineRule="auto"/>
              <w:ind w:right="225"/>
              <w:jc w:val="both"/>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Finishing:</w:t>
            </w:r>
          </w:p>
          <w:p w:rsidR="00000000" w:rsidDel="00000000" w:rsidP="00000000" w:rsidRDefault="00000000" w:rsidRPr="00000000" w14:paraId="0000000F">
            <w:pPr>
              <w:widowControl w:val="0"/>
              <w:spacing w:line="276" w:lineRule="auto"/>
              <w:ind w:right="225"/>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Nickel plated to a gloss.</w:t>
            </w:r>
          </w:p>
          <w:p w:rsidR="00000000" w:rsidDel="00000000" w:rsidP="00000000" w:rsidRDefault="00000000" w:rsidRPr="00000000" w14:paraId="00000010">
            <w:pPr>
              <w:widowControl w:val="0"/>
              <w:spacing w:line="276" w:lineRule="auto"/>
              <w:ind w:right="225"/>
              <w:jc w:val="both"/>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Locking System:</w:t>
            </w:r>
          </w:p>
          <w:p w:rsidR="00000000" w:rsidDel="00000000" w:rsidP="00000000" w:rsidRDefault="00000000" w:rsidRPr="00000000" w14:paraId="00000011">
            <w:pPr>
              <w:widowControl w:val="0"/>
              <w:spacing w:line="276" w:lineRule="auto"/>
              <w:ind w:right="225"/>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Double Locking Mechanism which locks a handcuff pawl in an engaged position, and prevents it from advancing further in the closing direction.</w:t>
            </w:r>
          </w:p>
          <w:p w:rsidR="00000000" w:rsidDel="00000000" w:rsidP="00000000" w:rsidRDefault="00000000" w:rsidRPr="00000000" w14:paraId="00000012">
            <w:pPr>
              <w:widowControl w:val="0"/>
              <w:spacing w:line="276" w:lineRule="auto"/>
              <w:ind w:right="225"/>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Pawl KEY \ DOUBLE LOCK ACTUATOR -CHEEK PLATES: </w:t>
            </w:r>
          </w:p>
          <w:p w:rsidR="00000000" w:rsidDel="00000000" w:rsidP="00000000" w:rsidRDefault="00000000" w:rsidRPr="00000000" w14:paraId="00000013">
            <w:pPr>
              <w:widowControl w:val="0"/>
              <w:spacing w:line="276" w:lineRule="auto"/>
              <w:ind w:right="225"/>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 spring-loaded, pivoted bar which engages the teeth of a ratchet, permitting it to advance in the closing direction only. </w:t>
            </w:r>
          </w:p>
          <w:p w:rsidR="00000000" w:rsidDel="00000000" w:rsidP="00000000" w:rsidRDefault="00000000" w:rsidRPr="00000000" w14:paraId="00000014">
            <w:pPr>
              <w:widowControl w:val="0"/>
              <w:spacing w:line="276" w:lineRule="auto"/>
              <w:ind w:right="225"/>
              <w:jc w:val="both"/>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Weight:</w:t>
            </w:r>
          </w:p>
          <w:p w:rsidR="00000000" w:rsidDel="00000000" w:rsidP="00000000" w:rsidRDefault="00000000" w:rsidRPr="00000000" w14:paraId="00000015">
            <w:pPr>
              <w:widowControl w:val="0"/>
              <w:spacing w:line="276" w:lineRule="auto"/>
              <w:ind w:right="225"/>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The weight of the pair of handcuffs shall not exceed 425 grams (15.0 oz.). </w:t>
            </w:r>
          </w:p>
          <w:p w:rsidR="00000000" w:rsidDel="00000000" w:rsidP="00000000" w:rsidRDefault="00000000" w:rsidRPr="00000000" w14:paraId="00000016">
            <w:pPr>
              <w:widowControl w:val="0"/>
              <w:spacing w:line="276" w:lineRule="auto"/>
              <w:ind w:right="225"/>
              <w:jc w:val="both"/>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Dimensions:</w:t>
            </w:r>
          </w:p>
          <w:p w:rsidR="00000000" w:rsidDel="00000000" w:rsidP="00000000" w:rsidRDefault="00000000" w:rsidRPr="00000000" w14:paraId="00000017">
            <w:pPr>
              <w:widowControl w:val="0"/>
              <w:spacing w:line="276" w:lineRule="auto"/>
              <w:ind w:right="225"/>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Each handcuff of each pair shall have an opening of 50 millimeters (2.0 inches) for insertion of the wrist. The inside perimeter of the handcuff shall be a minimum of 200 millimeters (7.9 inches) when the ratchet is engaged at the first notch entering the locking mechanism. The inside perimeter of the handcuff shall be a maxi-mum of 165 millimeters (6.5 inches) when the ratchet is engaged at the last notch entering the locking mechanism. The maximum overall length of the pair of handcuffs shall be 240 millimeters (9.4 inches). </w:t>
            </w:r>
          </w:p>
          <w:p w:rsidR="00000000" w:rsidDel="00000000" w:rsidP="00000000" w:rsidRDefault="00000000" w:rsidRPr="00000000" w14:paraId="00000018">
            <w:pPr>
              <w:widowControl w:val="0"/>
              <w:spacing w:line="276" w:lineRule="auto"/>
              <w:ind w:right="225"/>
              <w:jc w:val="both"/>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Mechanical Strength:</w:t>
            </w:r>
          </w:p>
          <w:p w:rsidR="00000000" w:rsidDel="00000000" w:rsidP="00000000" w:rsidRDefault="00000000" w:rsidRPr="00000000" w14:paraId="00000019">
            <w:pPr>
              <w:widowControl w:val="0"/>
              <w:spacing w:line="276" w:lineRule="auto"/>
              <w:ind w:right="225"/>
              <w:jc w:val="both"/>
              <w:rPr>
                <w:rFonts w:ascii="Arial" w:cs="Arial" w:eastAsia="Arial" w:hAnsi="Arial"/>
                <w:color w:val="000000"/>
                <w:sz w:val="22"/>
                <w:szCs w:val="22"/>
              </w:rPr>
            </w:pPr>
            <w:r w:rsidDel="00000000" w:rsidR="00000000" w:rsidRPr="00000000">
              <w:rPr>
                <w:rFonts w:ascii="Arial" w:cs="Arial" w:eastAsia="Arial" w:hAnsi="Arial"/>
                <w:color w:val="0000ff"/>
                <w:sz w:val="22"/>
                <w:szCs w:val="22"/>
                <w:rtl w:val="0"/>
              </w:rPr>
              <w:t xml:space="preserve">Confirmation through a letter in bidder’s letterhead</w:t>
            </w:r>
            <w:r w:rsidDel="00000000" w:rsidR="00000000" w:rsidRPr="00000000">
              <w:rPr>
                <w:rFonts w:ascii="Arial" w:cs="Arial" w:eastAsia="Arial" w:hAnsi="Arial"/>
                <w:b w:val="1"/>
                <w:color w:val="000000"/>
                <w:sz w:val="22"/>
                <w:szCs w:val="22"/>
                <w:rtl w:val="0"/>
              </w:rPr>
              <w:t xml:space="preserve"> </w:t>
            </w:r>
            <w:r w:rsidDel="00000000" w:rsidR="00000000" w:rsidRPr="00000000">
              <w:rPr>
                <w:rFonts w:ascii="Arial" w:cs="Arial" w:eastAsia="Arial" w:hAnsi="Arial"/>
                <w:color w:val="000000"/>
                <w:sz w:val="22"/>
                <w:szCs w:val="22"/>
                <w:rtl w:val="0"/>
              </w:rPr>
              <w:t xml:space="preserve">that each pair of that the handcuffs can withstand a tensile force of 2200 newtons (495 pounds-force) for a period not less than 30 seconds when tested. The handcuffs shall show no sign of permanent distortion or fracture and shall function in a normal manner following these tests. The bidder has to provide the confirmation</w:t>
            </w:r>
          </w:p>
          <w:p w:rsidR="00000000" w:rsidDel="00000000" w:rsidP="00000000" w:rsidRDefault="00000000" w:rsidRPr="00000000" w14:paraId="0000001A">
            <w:pPr>
              <w:widowControl w:val="0"/>
              <w:spacing w:line="276" w:lineRule="auto"/>
              <w:ind w:right="225"/>
              <w:jc w:val="both"/>
              <w:rPr>
                <w:rFonts w:ascii="Arial" w:cs="Arial" w:eastAsia="Arial" w:hAnsi="Arial"/>
                <w:color w:val="000000"/>
                <w:sz w:val="22"/>
                <w:szCs w:val="22"/>
                <w:u w:val="single"/>
              </w:rPr>
            </w:pPr>
            <w:r w:rsidDel="00000000" w:rsidR="00000000" w:rsidRPr="00000000">
              <w:rPr>
                <w:rFonts w:ascii="Arial" w:cs="Arial" w:eastAsia="Arial" w:hAnsi="Arial"/>
                <w:color w:val="000000"/>
                <w:sz w:val="22"/>
                <w:szCs w:val="22"/>
                <w:u w:val="single"/>
                <w:rtl w:val="0"/>
              </w:rPr>
              <w:t xml:space="preserve">The bidder has to provide the confirmation</w:t>
            </w:r>
          </w:p>
          <w:p w:rsidR="00000000" w:rsidDel="00000000" w:rsidP="00000000" w:rsidRDefault="00000000" w:rsidRPr="00000000" w14:paraId="0000001B">
            <w:pPr>
              <w:widowControl w:val="0"/>
              <w:spacing w:line="276" w:lineRule="auto"/>
              <w:ind w:right="225"/>
              <w:jc w:val="both"/>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Dust Resistance:</w:t>
            </w:r>
          </w:p>
          <w:p w:rsidR="00000000" w:rsidDel="00000000" w:rsidP="00000000" w:rsidRDefault="00000000" w:rsidRPr="00000000" w14:paraId="0000001C">
            <w:pPr>
              <w:widowControl w:val="0"/>
              <w:spacing w:line="276" w:lineRule="auto"/>
              <w:ind w:right="225"/>
              <w:jc w:val="both"/>
              <w:rPr>
                <w:rFonts w:ascii="Arial" w:cs="Arial" w:eastAsia="Arial" w:hAnsi="Arial"/>
                <w:color w:val="000000"/>
                <w:sz w:val="22"/>
                <w:szCs w:val="22"/>
              </w:rPr>
            </w:pPr>
            <w:r w:rsidDel="00000000" w:rsidR="00000000" w:rsidRPr="00000000">
              <w:rPr>
                <w:rFonts w:ascii="Arial" w:cs="Arial" w:eastAsia="Arial" w:hAnsi="Arial"/>
                <w:color w:val="0000ff"/>
                <w:sz w:val="22"/>
                <w:szCs w:val="22"/>
                <w:rtl w:val="0"/>
              </w:rPr>
              <w:t xml:space="preserve">Confirmation through a letter in bidder’s letterhead</w:t>
            </w:r>
            <w:r w:rsidDel="00000000" w:rsidR="00000000" w:rsidRPr="00000000">
              <w:rPr>
                <w:rFonts w:ascii="Arial" w:cs="Arial" w:eastAsia="Arial" w:hAnsi="Arial"/>
                <w:color w:val="000000"/>
                <w:sz w:val="22"/>
                <w:szCs w:val="22"/>
                <w:rtl w:val="0"/>
              </w:rPr>
              <w:t xml:space="preserve"> that the handcuffs show no evidence of dust interfering with the locking mechanism after being subjected to a dusty atmosphere for one hour and shall then function in a normal manner. </w:t>
            </w:r>
            <w:r w:rsidDel="00000000" w:rsidR="00000000" w:rsidRPr="00000000">
              <w:rPr>
                <w:rFonts w:ascii="Arial" w:cs="Arial" w:eastAsia="Arial" w:hAnsi="Arial"/>
                <w:color w:val="000000"/>
                <w:sz w:val="22"/>
                <w:szCs w:val="22"/>
                <w:u w:val="single"/>
                <w:rtl w:val="0"/>
              </w:rPr>
              <w:t xml:space="preserve">The bidder has to provide the confirmation</w:t>
            </w:r>
            <w:r w:rsidDel="00000000" w:rsidR="00000000" w:rsidRPr="00000000">
              <w:rPr>
                <w:rtl w:val="0"/>
              </w:rPr>
            </w:r>
          </w:p>
          <w:p w:rsidR="00000000" w:rsidDel="00000000" w:rsidP="00000000" w:rsidRDefault="00000000" w:rsidRPr="00000000" w14:paraId="0000001D">
            <w:pPr>
              <w:widowControl w:val="0"/>
              <w:spacing w:line="276" w:lineRule="auto"/>
              <w:ind w:right="225"/>
              <w:jc w:val="both"/>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Salt Spray Corrosion Resistance:</w:t>
            </w:r>
            <w:r w:rsidDel="00000000" w:rsidR="00000000" w:rsidRPr="00000000">
              <w:rPr>
                <w:rFonts w:ascii="Arial" w:cs="Arial" w:eastAsia="Arial" w:hAnsi="Arial"/>
                <w:color w:val="000000"/>
                <w:sz w:val="22"/>
                <w:szCs w:val="22"/>
                <w:rtl w:val="0"/>
              </w:rPr>
              <w:t xml:space="preserve"> </w:t>
            </w:r>
          </w:p>
          <w:p w:rsidR="00000000" w:rsidDel="00000000" w:rsidP="00000000" w:rsidRDefault="00000000" w:rsidRPr="00000000" w14:paraId="0000001E">
            <w:pPr>
              <w:widowControl w:val="0"/>
              <w:spacing w:line="276" w:lineRule="auto"/>
              <w:ind w:right="225"/>
              <w:jc w:val="both"/>
              <w:rPr>
                <w:rFonts w:ascii="Arial" w:cs="Arial" w:eastAsia="Arial" w:hAnsi="Arial"/>
                <w:color w:val="000000"/>
                <w:sz w:val="22"/>
                <w:szCs w:val="22"/>
                <w:u w:val="single"/>
              </w:rPr>
            </w:pPr>
            <w:r w:rsidDel="00000000" w:rsidR="00000000" w:rsidRPr="00000000">
              <w:rPr>
                <w:rFonts w:ascii="Arial" w:cs="Arial" w:eastAsia="Arial" w:hAnsi="Arial"/>
                <w:color w:val="0000ff"/>
                <w:sz w:val="22"/>
                <w:szCs w:val="22"/>
                <w:rtl w:val="0"/>
              </w:rPr>
              <w:t xml:space="preserve">Confirmation through a letter in bidder’s letterhead</w:t>
            </w:r>
            <w:r w:rsidDel="00000000" w:rsidR="00000000" w:rsidRPr="00000000">
              <w:rPr>
                <w:rFonts w:ascii="Arial" w:cs="Arial" w:eastAsia="Arial" w:hAnsi="Arial"/>
                <w:color w:val="000000"/>
                <w:sz w:val="22"/>
                <w:szCs w:val="22"/>
                <w:rtl w:val="0"/>
              </w:rPr>
              <w:t xml:space="preserve"> that the handcuffs show no visual evidence of corrosion of the basic metal or the coating after being exposed to a salt spray for 12 hours and shall then function in a normal manner. </w:t>
            </w:r>
            <w:r w:rsidDel="00000000" w:rsidR="00000000" w:rsidRPr="00000000">
              <w:rPr>
                <w:rFonts w:ascii="Arial" w:cs="Arial" w:eastAsia="Arial" w:hAnsi="Arial"/>
                <w:color w:val="000000"/>
                <w:sz w:val="22"/>
                <w:szCs w:val="22"/>
                <w:u w:val="single"/>
                <w:rtl w:val="0"/>
              </w:rPr>
              <w:t xml:space="preserve">The bidder has to provide the confirmation.</w:t>
            </w:r>
          </w:p>
          <w:p w:rsidR="00000000" w:rsidDel="00000000" w:rsidP="00000000" w:rsidRDefault="00000000" w:rsidRPr="00000000" w14:paraId="0000001F">
            <w:pPr>
              <w:widowControl w:val="0"/>
              <w:spacing w:line="276" w:lineRule="auto"/>
              <w:ind w:right="225"/>
              <w:jc w:val="both"/>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Carry Pouch:</w:t>
            </w:r>
          </w:p>
          <w:p w:rsidR="00000000" w:rsidDel="00000000" w:rsidP="00000000" w:rsidRDefault="00000000" w:rsidRPr="00000000" w14:paraId="00000020">
            <w:pPr>
              <w:widowControl w:val="0"/>
              <w:spacing w:line="276" w:lineRule="auto"/>
              <w:ind w:right="225"/>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Each handcuff to be issued with a heavy duty carry pouch that can be attached to a standard police duty/web belt. The material of the pouch should be nylon and Black in colour. The pouch should have snap button closure.</w:t>
            </w:r>
          </w:p>
          <w:p w:rsidR="00000000" w:rsidDel="00000000" w:rsidP="00000000" w:rsidRDefault="00000000" w:rsidRPr="00000000" w14:paraId="00000021">
            <w:pPr>
              <w:widowControl w:val="0"/>
              <w:spacing w:line="276" w:lineRule="auto"/>
              <w:ind w:right="225"/>
              <w:jc w:val="both"/>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Warranty:</w:t>
            </w:r>
          </w:p>
          <w:p w:rsidR="00000000" w:rsidDel="00000000" w:rsidP="00000000" w:rsidRDefault="00000000" w:rsidRPr="00000000" w14:paraId="00000022">
            <w:pPr>
              <w:widowControl w:val="0"/>
              <w:spacing w:line="276" w:lineRule="auto"/>
              <w:ind w:right="225"/>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One year</w:t>
            </w:r>
          </w:p>
          <w:p w:rsidR="00000000" w:rsidDel="00000000" w:rsidP="00000000" w:rsidRDefault="00000000" w:rsidRPr="00000000" w14:paraId="00000023">
            <w:pPr>
              <w:widowControl w:val="0"/>
              <w:spacing w:line="276" w:lineRule="auto"/>
              <w:jc w:val="both"/>
              <w:rPr>
                <w:rFonts w:ascii="Arial" w:cs="Arial" w:eastAsia="Arial" w:hAnsi="Arial"/>
                <w:color w:val="000000"/>
                <w:sz w:val="22"/>
                <w:szCs w:val="22"/>
              </w:rPr>
            </w:pPr>
            <w:r w:rsidDel="00000000" w:rsidR="00000000" w:rsidRPr="00000000">
              <w:rPr>
                <w:rtl w:val="0"/>
              </w:rPr>
            </w:r>
          </w:p>
        </w:tc>
        <w:tc>
          <w:tcPr>
            <w:tcBorders>
              <w:top w:color="222222" w:space="0" w:sz="8" w:val="single"/>
              <w:left w:color="222222" w:space="0" w:sz="8" w:val="single"/>
              <w:bottom w:color="222222" w:space="0" w:sz="8" w:val="single"/>
              <w:right w:color="222222" w:space="0" w:sz="8" w:val="single"/>
            </w:tcBorders>
            <w:tcMar>
              <w:top w:w="0.0" w:type="dxa"/>
              <w:left w:w="40.0" w:type="dxa"/>
              <w:bottom w:w="0.0" w:type="dxa"/>
              <w:right w:w="40.0" w:type="dxa"/>
            </w:tcMar>
            <w:vAlign w:val="center"/>
          </w:tcPr>
          <w:p w:rsidR="00000000" w:rsidDel="00000000" w:rsidP="00000000" w:rsidRDefault="00000000" w:rsidRPr="00000000" w14:paraId="00000024">
            <w:pPr>
              <w:widowControl w:val="0"/>
              <w:spacing w:line="276" w:lineRule="auto"/>
              <w:jc w:val="center"/>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EA</w:t>
            </w:r>
            <w:r w:rsidDel="00000000" w:rsidR="00000000" w:rsidRPr="00000000">
              <w:rPr>
                <w:rtl w:val="0"/>
              </w:rPr>
            </w:r>
          </w:p>
        </w:tc>
        <w:tc>
          <w:tcPr>
            <w:tcBorders>
              <w:top w:color="222222" w:space="0" w:sz="8" w:val="single"/>
              <w:left w:color="222222" w:space="0" w:sz="8" w:val="single"/>
              <w:bottom w:color="222222" w:space="0" w:sz="8" w:val="single"/>
              <w:right w:color="222222" w:space="0" w:sz="8" w:val="single"/>
            </w:tcBorders>
            <w:tcMar>
              <w:top w:w="0.0" w:type="dxa"/>
              <w:left w:w="40.0" w:type="dxa"/>
              <w:bottom w:w="0.0" w:type="dxa"/>
              <w:right w:w="40.0" w:type="dxa"/>
            </w:tcMar>
            <w:vAlign w:val="center"/>
          </w:tcPr>
          <w:p w:rsidR="00000000" w:rsidDel="00000000" w:rsidP="00000000" w:rsidRDefault="00000000" w:rsidRPr="00000000" w14:paraId="00000025">
            <w:pPr>
              <w:widowControl w:val="0"/>
              <w:spacing w:line="276" w:lineRule="auto"/>
              <w:jc w:val="center"/>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600</w:t>
            </w:r>
            <w:r w:rsidDel="00000000" w:rsidR="00000000" w:rsidRPr="00000000">
              <w:rPr>
                <w:rtl w:val="0"/>
              </w:rPr>
            </w:r>
          </w:p>
        </w:tc>
      </w:tr>
      <w:tr>
        <w:trPr>
          <w:cantSplit w:val="0"/>
          <w:trHeight w:val="1140" w:hRule="atLeast"/>
          <w:tblHeader w:val="0"/>
        </w:trPr>
        <w:tc>
          <w:tcPr>
            <w:tcBorders>
              <w:top w:color="222222" w:space="0" w:sz="8" w:val="single"/>
              <w:left w:color="222222" w:space="0" w:sz="8" w:val="single"/>
              <w:bottom w:color="222222" w:space="0" w:sz="8" w:val="single"/>
              <w:right w:color="222222" w:space="0" w:sz="8" w:val="single"/>
            </w:tcBorders>
            <w:tcMar>
              <w:top w:w="0.0" w:type="dxa"/>
              <w:left w:w="40.0" w:type="dxa"/>
              <w:bottom w:w="0.0" w:type="dxa"/>
              <w:right w:w="40.0" w:type="dxa"/>
            </w:tcMar>
            <w:vAlign w:val="center"/>
          </w:tcPr>
          <w:p w:rsidR="00000000" w:rsidDel="00000000" w:rsidP="00000000" w:rsidRDefault="00000000" w:rsidRPr="00000000" w14:paraId="00000026">
            <w:pPr>
              <w:widowControl w:val="0"/>
              <w:pBdr>
                <w:left w:color="000000" w:space="2" w:sz="8" w:val="single"/>
              </w:pBdr>
              <w:spacing w:line="276" w:lineRule="auto"/>
              <w:jc w:val="both"/>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2</w:t>
            </w:r>
            <w:r w:rsidDel="00000000" w:rsidR="00000000" w:rsidRPr="00000000">
              <w:rPr>
                <w:rtl w:val="0"/>
              </w:rPr>
            </w:r>
          </w:p>
        </w:tc>
        <w:tc>
          <w:tcPr>
            <w:tcBorders>
              <w:top w:color="222222" w:space="0" w:sz="8" w:val="single"/>
              <w:left w:color="222222" w:space="0" w:sz="8" w:val="single"/>
              <w:bottom w:color="222222" w:space="0" w:sz="8" w:val="single"/>
              <w:right w:color="222222" w:space="0" w:sz="8" w:val="single"/>
            </w:tcBorders>
            <w:tcMar>
              <w:top w:w="0.0" w:type="dxa"/>
              <w:left w:w="40.0" w:type="dxa"/>
              <w:bottom w:w="0.0" w:type="dxa"/>
              <w:right w:w="40.0" w:type="dxa"/>
            </w:tcMar>
            <w:vAlign w:val="top"/>
          </w:tcPr>
          <w:p w:rsidR="00000000" w:rsidDel="00000000" w:rsidP="00000000" w:rsidRDefault="00000000" w:rsidRPr="00000000" w14:paraId="00000027">
            <w:pPr>
              <w:widowControl w:val="0"/>
              <w:spacing w:line="276"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Transportation and delivery of goods to the Criminal Investigation Department (CID) Office in Mogadishu - DAP (Incoterms 2020)</w:t>
            </w:r>
          </w:p>
        </w:tc>
        <w:tc>
          <w:tcPr>
            <w:tcBorders>
              <w:top w:color="222222" w:space="0" w:sz="8" w:val="single"/>
              <w:left w:color="222222" w:space="0" w:sz="8" w:val="single"/>
              <w:bottom w:color="222222" w:space="0" w:sz="8" w:val="single"/>
              <w:right w:color="222222" w:space="0" w:sz="8" w:val="single"/>
            </w:tcBorders>
            <w:tcMar>
              <w:top w:w="0.0" w:type="dxa"/>
              <w:left w:w="40.0" w:type="dxa"/>
              <w:bottom w:w="0.0" w:type="dxa"/>
              <w:right w:w="40.0" w:type="dxa"/>
            </w:tcMar>
            <w:vAlign w:val="center"/>
          </w:tcPr>
          <w:p w:rsidR="00000000" w:rsidDel="00000000" w:rsidP="00000000" w:rsidRDefault="00000000" w:rsidRPr="00000000" w14:paraId="00000028">
            <w:pPr>
              <w:widowControl w:val="0"/>
              <w:spacing w:line="276" w:lineRule="auto"/>
              <w:jc w:val="both"/>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Whole</w:t>
            </w:r>
          </w:p>
        </w:tc>
        <w:tc>
          <w:tcPr>
            <w:tcBorders>
              <w:top w:color="222222" w:space="0" w:sz="8" w:val="single"/>
              <w:left w:color="222222" w:space="0" w:sz="8" w:val="single"/>
              <w:bottom w:color="222222" w:space="0" w:sz="8" w:val="single"/>
              <w:right w:color="222222" w:space="0" w:sz="8" w:val="single"/>
            </w:tcBorders>
            <w:tcMar>
              <w:top w:w="0.0" w:type="dxa"/>
              <w:left w:w="40.0" w:type="dxa"/>
              <w:bottom w:w="0.0" w:type="dxa"/>
              <w:right w:w="40.0" w:type="dxa"/>
            </w:tcMar>
            <w:vAlign w:val="center"/>
          </w:tcPr>
          <w:p w:rsidR="00000000" w:rsidDel="00000000" w:rsidP="00000000" w:rsidRDefault="00000000" w:rsidRPr="00000000" w14:paraId="00000029">
            <w:pPr>
              <w:widowControl w:val="0"/>
              <w:spacing w:line="276" w:lineRule="auto"/>
              <w:jc w:val="both"/>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Whole</w:t>
            </w:r>
          </w:p>
        </w:tc>
      </w:tr>
    </w:tbl>
    <w:p w:rsidR="00000000" w:rsidDel="00000000" w:rsidP="00000000" w:rsidRDefault="00000000" w:rsidRPr="00000000" w14:paraId="0000002A">
      <w:pPr>
        <w:jc w:val="both"/>
        <w:rPr>
          <w:b w:val="1"/>
          <w:sz w:val="22"/>
          <w:szCs w:val="22"/>
        </w:rPr>
      </w:pPr>
      <w:r w:rsidDel="00000000" w:rsidR="00000000" w:rsidRPr="00000000">
        <w:rPr>
          <w:rtl w:val="0"/>
        </w:rPr>
      </w:r>
    </w:p>
    <w:p w:rsidR="00000000" w:rsidDel="00000000" w:rsidP="00000000" w:rsidRDefault="00000000" w:rsidRPr="00000000" w14:paraId="0000002B">
      <w:pPr>
        <w:tabs>
          <w:tab w:val="left" w:pos="-720"/>
          <w:tab w:val="left" w:pos="0"/>
          <w:tab w:val="left" w:pos="720"/>
          <w:tab w:val="right" w:pos="8640"/>
        </w:tabs>
        <w:jc w:val="both"/>
        <w:rPr>
          <w:b w:val="1"/>
          <w:sz w:val="22"/>
          <w:szCs w:val="22"/>
        </w:rPr>
      </w:pPr>
      <w:r w:rsidDel="00000000" w:rsidR="00000000" w:rsidRPr="00000000">
        <w:rPr>
          <w:rtl w:val="0"/>
        </w:rPr>
      </w:r>
    </w:p>
    <w:p w:rsidR="00000000" w:rsidDel="00000000" w:rsidP="00000000" w:rsidRDefault="00000000" w:rsidRPr="00000000" w14:paraId="0000002C">
      <w:pPr>
        <w:ind w:left="0" w:firstLine="0"/>
        <w:jc w:val="both"/>
        <w:rPr>
          <w:b w:val="1"/>
          <w:sz w:val="22"/>
          <w:szCs w:val="22"/>
        </w:rPr>
      </w:pPr>
      <w:r w:rsidDel="00000000" w:rsidR="00000000" w:rsidRPr="00000000">
        <w:rPr>
          <w:rtl w:val="0"/>
        </w:rPr>
      </w:r>
    </w:p>
    <w:p w:rsidR="00000000" w:rsidDel="00000000" w:rsidP="00000000" w:rsidRDefault="00000000" w:rsidRPr="00000000" w14:paraId="0000002D">
      <w:pPr>
        <w:tabs>
          <w:tab w:val="left" w:pos="-720"/>
          <w:tab w:val="left" w:pos="0"/>
          <w:tab w:val="left" w:pos="720"/>
          <w:tab w:val="right" w:pos="8640"/>
        </w:tabs>
        <w:jc w:val="both"/>
        <w:rPr>
          <w:b w:val="1"/>
          <w:sz w:val="22"/>
          <w:szCs w:val="22"/>
        </w:rPr>
      </w:pPr>
      <w:r w:rsidDel="00000000" w:rsidR="00000000" w:rsidRPr="00000000">
        <w:rPr>
          <w:rtl w:val="0"/>
        </w:rPr>
      </w:r>
    </w:p>
    <w:p w:rsidR="00000000" w:rsidDel="00000000" w:rsidP="00000000" w:rsidRDefault="00000000" w:rsidRPr="00000000" w14:paraId="0000002E">
      <w:pPr>
        <w:tabs>
          <w:tab w:val="left" w:pos="990"/>
        </w:tabs>
        <w:jc w:val="both"/>
        <w:rPr>
          <w:sz w:val="22"/>
          <w:szCs w:val="22"/>
        </w:rPr>
      </w:pPr>
      <w:r w:rsidDel="00000000" w:rsidR="00000000" w:rsidRPr="00000000">
        <w:rPr>
          <w:rtl w:val="0"/>
        </w:rPr>
      </w:r>
    </w:p>
    <w:sectPr>
      <w:headerReference r:id="rId8" w:type="default"/>
      <w:headerReference r:id="rId9" w:type="first"/>
      <w:footerReference r:id="rId10" w:type="default"/>
      <w:footerReference r:id="rId11" w:type="first"/>
      <w:pgSz w:h="16839" w:w="11907" w:orient="portrait"/>
      <w:pgMar w:bottom="1440" w:top="1170" w:left="810" w:right="840" w:header="720" w:footer="431"/>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Verdana"/>
  <w:font w:name="Times New Roman"/>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widowControl w:val="0"/>
      <w:pBdr>
        <w:top w:space="0" w:sz="0" w:val="nil"/>
        <w:left w:space="0" w:sz="0" w:val="nil"/>
        <w:bottom w:space="0" w:sz="0" w:val="nil"/>
        <w:right w:space="0" w:sz="0" w:val="nil"/>
        <w:between w:space="0" w:sz="0" w:val="nil"/>
      </w:pBdr>
      <w:spacing w:line="276" w:lineRule="auto"/>
      <w:rPr>
        <w:color w:val="000000"/>
      </w:rPr>
    </w:pPr>
    <w:r w:rsidDel="00000000" w:rsidR="00000000" w:rsidRPr="00000000">
      <w:rPr>
        <w:rtl w:val="0"/>
      </w:rPr>
    </w:r>
  </w:p>
  <w:tbl>
    <w:tblPr>
      <w:tblStyle w:val="Table3"/>
      <w:tblW w:w="9889.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596"/>
      <w:gridCol w:w="5293"/>
      <w:tblGridChange w:id="0">
        <w:tblGrid>
          <w:gridCol w:w="4596"/>
          <w:gridCol w:w="5293"/>
        </w:tblGrid>
      </w:tblGridChange>
    </w:tblGrid>
    <w:tr>
      <w:trPr>
        <w:cantSplit w:val="0"/>
        <w:tblHeader w:val="0"/>
      </w:trPr>
      <w:tc>
        <w:tcPr/>
        <w:p w:rsidR="00000000" w:rsidDel="00000000" w:rsidP="00000000" w:rsidRDefault="00000000" w:rsidRPr="00000000" w14:paraId="00000036">
          <w:pPr>
            <w:pBdr>
              <w:top w:space="0" w:sz="0" w:val="nil"/>
              <w:left w:space="0" w:sz="0" w:val="nil"/>
              <w:bottom w:space="0" w:sz="0" w:val="nil"/>
              <w:right w:space="0" w:sz="0" w:val="nil"/>
              <w:between w:space="0" w:sz="0" w:val="nil"/>
            </w:pBdr>
            <w:tabs>
              <w:tab w:val="center" w:pos="4320"/>
              <w:tab w:val="right" w:pos="8640"/>
            </w:tabs>
            <w:rPr>
              <w:rFonts w:ascii="Arial" w:cs="Arial" w:eastAsia="Arial" w:hAnsi="Arial"/>
              <w:color w:val="000000"/>
              <w:sz w:val="18"/>
              <w:szCs w:val="18"/>
            </w:rPr>
          </w:pPr>
          <w:r w:rsidDel="00000000" w:rsidR="00000000" w:rsidRPr="00000000">
            <w:rPr>
              <w:rtl w:val="0"/>
            </w:rPr>
          </w:r>
        </w:p>
      </w:tc>
      <w:tc>
        <w:tcPr/>
        <w:p w:rsidR="00000000" w:rsidDel="00000000" w:rsidP="00000000" w:rsidRDefault="00000000" w:rsidRPr="00000000" w14:paraId="00000037">
          <w:pPr>
            <w:pBdr>
              <w:top w:space="0" w:sz="0" w:val="nil"/>
              <w:left w:space="0" w:sz="0" w:val="nil"/>
              <w:bottom w:space="0" w:sz="0" w:val="nil"/>
              <w:right w:space="0" w:sz="0" w:val="nil"/>
              <w:between w:space="0" w:sz="0" w:val="nil"/>
            </w:pBdr>
            <w:tabs>
              <w:tab w:val="center" w:pos="4320"/>
              <w:tab w:val="right" w:pos="8640"/>
            </w:tabs>
            <w:jc w:val="right"/>
            <w:rPr>
              <w:rFonts w:ascii="Arial" w:cs="Arial" w:eastAsia="Arial" w:hAnsi="Arial"/>
              <w:color w:val="000000"/>
              <w:sz w:val="18"/>
              <w:szCs w:val="18"/>
            </w:rPr>
          </w:pPr>
          <w:r w:rsidDel="00000000" w:rsidR="00000000" w:rsidRPr="00000000">
            <w:rPr>
              <w:color w:val="000000"/>
              <w:sz w:val="18"/>
              <w:szCs w:val="18"/>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38">
    <w:pPr>
      <w:pBdr>
        <w:top w:space="0" w:sz="0" w:val="nil"/>
        <w:left w:space="0" w:sz="0" w:val="nil"/>
        <w:bottom w:space="0" w:sz="0" w:val="nil"/>
        <w:right w:space="0" w:sz="0" w:val="nil"/>
        <w:between w:space="0" w:sz="0" w:val="nil"/>
      </w:pBdr>
      <w:tabs>
        <w:tab w:val="center" w:pos="4320"/>
        <w:tab w:val="right" w:pos="8640"/>
      </w:tabs>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pBdr>
        <w:top w:space="0" w:sz="0" w:val="nil"/>
        <w:left w:space="0" w:sz="0" w:val="nil"/>
        <w:bottom w:space="0" w:sz="0" w:val="nil"/>
        <w:right w:space="0" w:sz="0" w:val="nil"/>
        <w:between w:space="0" w:sz="0" w:val="nil"/>
      </w:pBdr>
      <w:tabs>
        <w:tab w:val="center" w:pos="4320"/>
        <w:tab w:val="right" w:pos="8640"/>
      </w:tabs>
      <w:rPr>
        <w:color w:val="00000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166414</wp:posOffset>
          </wp:positionH>
          <wp:positionV relativeFrom="paragraph">
            <wp:posOffset>-31800</wp:posOffset>
          </wp:positionV>
          <wp:extent cx="1477645" cy="215900"/>
          <wp:effectExtent b="0" l="0" r="0" t="0"/>
          <wp:wrapNone/>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477645" cy="215900"/>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tabs>
        <w:tab w:val="center" w:pos="4320"/>
        <w:tab w:val="right" w:pos="8640"/>
      </w:tabs>
      <w:rPr>
        <w:color w:val="000000"/>
      </w:rPr>
    </w:pPr>
    <w:r w:rsidDel="00000000" w:rsidR="00000000" w:rsidRPr="00000000">
      <w:rPr>
        <w:rtl w:val="0"/>
      </w:rPr>
    </w:r>
  </w:p>
  <w:tbl>
    <w:tblPr>
      <w:tblStyle w:val="Table2"/>
      <w:tblW w:w="9889.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944"/>
      <w:gridCol w:w="4945"/>
      <w:tblGridChange w:id="0">
        <w:tblGrid>
          <w:gridCol w:w="4944"/>
          <w:gridCol w:w="4945"/>
        </w:tblGrid>
      </w:tblGridChange>
    </w:tblGrid>
    <w:tr>
      <w:trPr>
        <w:cantSplit w:val="0"/>
        <w:trHeight w:val="435" w:hRule="atLeast"/>
        <w:tblHeader w:val="0"/>
      </w:trPr>
      <w:tc>
        <w:tcPr/>
        <w:p w:rsidR="00000000" w:rsidDel="00000000" w:rsidP="00000000" w:rsidRDefault="00000000" w:rsidRPr="00000000" w14:paraId="00000031">
          <w:pPr>
            <w:tabs>
              <w:tab w:val="center" w:pos="4320"/>
              <w:tab w:val="right" w:pos="8640"/>
            </w:tabs>
            <w:rPr>
              <w:rFonts w:ascii="Arial" w:cs="Arial" w:eastAsia="Arial" w:hAnsi="Arial"/>
              <w:color w:val="000000"/>
              <w:sz w:val="18"/>
              <w:szCs w:val="18"/>
            </w:rPr>
          </w:pPr>
          <w:r w:rsidDel="00000000" w:rsidR="00000000" w:rsidRPr="00000000">
            <w:rPr/>
            <w:drawing>
              <wp:inline distB="0" distT="0" distL="114300" distR="114300">
                <wp:extent cx="1477645" cy="215900"/>
                <wp:effectExtent b="0" l="0" r="0" t="0"/>
                <wp:docPr id="6"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477645" cy="215900"/>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32">
          <w:pPr>
            <w:pBdr>
              <w:top w:space="0" w:sz="0" w:val="nil"/>
              <w:left w:space="0" w:sz="0" w:val="nil"/>
              <w:bottom w:space="0" w:sz="0" w:val="nil"/>
              <w:right w:space="0" w:sz="0" w:val="nil"/>
              <w:between w:space="0" w:sz="0" w:val="nil"/>
            </w:pBdr>
            <w:tabs>
              <w:tab w:val="center" w:pos="4320"/>
              <w:tab w:val="right" w:pos="8640"/>
            </w:tabs>
            <w:jc w:val="right"/>
            <w:rPr>
              <w:rFonts w:ascii="Arial" w:cs="Arial" w:eastAsia="Arial" w:hAnsi="Arial"/>
              <w:b w:val="1"/>
              <w:color w:val="000000"/>
              <w:sz w:val="18"/>
              <w:szCs w:val="18"/>
            </w:rPr>
          </w:pPr>
          <w:r w:rsidDel="00000000" w:rsidR="00000000" w:rsidRPr="00000000">
            <w:rPr>
              <w:rtl w:val="0"/>
            </w:rPr>
          </w:r>
        </w:p>
      </w:tc>
    </w:tr>
  </w:tbl>
  <w:p w:rsidR="00000000" w:rsidDel="00000000" w:rsidP="00000000" w:rsidRDefault="00000000" w:rsidRPr="00000000" w14:paraId="00000033">
    <w:pPr>
      <w:tabs>
        <w:tab w:val="center" w:pos="4320"/>
        <w:tab w:val="right" w:pos="8640"/>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lineRule="auto"/>
      <w:jc w:val="both"/>
    </w:pPr>
    <w:rPr>
      <w:b w:val="1"/>
      <w:color w:val="0092d1"/>
    </w:rPr>
  </w:style>
  <w:style w:type="paragraph" w:styleId="Heading2">
    <w:name w:val="heading 2"/>
    <w:basedOn w:val="Normal"/>
    <w:next w:val="Normal"/>
    <w:pPr>
      <w:keepNext w:val="1"/>
      <w:spacing w:after="60" w:before="240" w:lineRule="auto"/>
    </w:pPr>
    <w:rPr>
      <w:rFonts w:ascii="Cambria" w:cs="Cambria" w:eastAsia="Cambria" w:hAnsi="Cambria"/>
      <w:b w:val="1"/>
      <w:i w:val="1"/>
      <w:sz w:val="28"/>
      <w:szCs w:val="28"/>
    </w:rPr>
  </w:style>
  <w:style w:type="paragraph" w:styleId="Heading3">
    <w:name w:val="heading 3"/>
    <w:basedOn w:val="Normal"/>
    <w:next w:val="Normal"/>
    <w:pPr>
      <w:ind w:left="720" w:hanging="360"/>
    </w:pPr>
    <w:rPr>
      <w:b w:val="1"/>
    </w:rPr>
  </w:style>
  <w:style w:type="paragraph" w:styleId="Heading4">
    <w:name w:val="heading 4"/>
    <w:basedOn w:val="Normal"/>
    <w:next w:val="Normal"/>
    <w:pPr>
      <w:keepNext w:val="1"/>
      <w:keepLines w:val="1"/>
      <w:spacing w:before="200" w:lineRule="auto"/>
    </w:pPr>
    <w:rPr>
      <w:rFonts w:ascii="Cambria" w:cs="Cambria" w:eastAsia="Cambria" w:hAnsi="Cambria"/>
      <w:b w:val="1"/>
      <w:i w:val="1"/>
      <w:color w:val="4f81bd"/>
    </w:rPr>
  </w:style>
  <w:style w:type="paragraph" w:styleId="Heading5">
    <w:name w:val="heading 5"/>
    <w:basedOn w:val="Normal"/>
    <w:next w:val="Normal"/>
    <w:pPr>
      <w:spacing w:after="60" w:before="240" w:lineRule="auto"/>
    </w:pPr>
    <w:rPr>
      <w:rFonts w:ascii="Verdana" w:cs="Verdana" w:eastAsia="Verdana" w:hAnsi="Verdana"/>
      <w:b w:val="1"/>
      <w:i w:val="1"/>
      <w:sz w:val="26"/>
      <w:szCs w:val="26"/>
    </w:rPr>
  </w:style>
  <w:style w:type="paragraph" w:styleId="Heading6">
    <w:name w:val="heading 6"/>
    <w:basedOn w:val="Normal"/>
    <w:next w:val="Normal"/>
    <w:pPr>
      <w:spacing w:after="60" w:before="240" w:lineRule="auto"/>
    </w:pPr>
    <w:rPr>
      <w:b w:val="1"/>
      <w:sz w:val="22"/>
      <w:szCs w:val="22"/>
    </w:rPr>
  </w:style>
  <w:style w:type="paragraph" w:styleId="Title">
    <w:name w:val="Title"/>
    <w:basedOn w:val="Normal"/>
    <w:next w:val="Normal"/>
    <w:pPr>
      <w:spacing w:after="60" w:before="240" w:lineRule="auto"/>
      <w:jc w:val="center"/>
    </w:pPr>
    <w:rPr>
      <w:b w:val="1"/>
      <w:sz w:val="32"/>
      <w:szCs w:val="3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lineRule="auto"/>
      <w:jc w:val="both"/>
    </w:pPr>
    <w:rPr>
      <w:b w:val="1"/>
      <w:color w:val="0092d1"/>
    </w:rPr>
  </w:style>
  <w:style w:type="paragraph" w:styleId="Heading2">
    <w:name w:val="heading 2"/>
    <w:basedOn w:val="Normal"/>
    <w:next w:val="Normal"/>
    <w:pPr>
      <w:keepNext w:val="1"/>
      <w:spacing w:after="60" w:before="240" w:lineRule="auto"/>
    </w:pPr>
    <w:rPr>
      <w:rFonts w:ascii="Cambria" w:cs="Cambria" w:eastAsia="Cambria" w:hAnsi="Cambria"/>
      <w:b w:val="1"/>
      <w:i w:val="1"/>
      <w:sz w:val="28"/>
      <w:szCs w:val="28"/>
    </w:rPr>
  </w:style>
  <w:style w:type="paragraph" w:styleId="Heading3">
    <w:name w:val="heading 3"/>
    <w:basedOn w:val="Normal"/>
    <w:next w:val="Normal"/>
    <w:pPr>
      <w:ind w:left="720" w:hanging="360"/>
    </w:pPr>
    <w:rPr>
      <w:b w:val="1"/>
    </w:rPr>
  </w:style>
  <w:style w:type="paragraph" w:styleId="Heading4">
    <w:name w:val="heading 4"/>
    <w:basedOn w:val="Normal"/>
    <w:next w:val="Normal"/>
    <w:pPr>
      <w:keepNext w:val="1"/>
      <w:keepLines w:val="1"/>
      <w:spacing w:before="200" w:lineRule="auto"/>
    </w:pPr>
    <w:rPr>
      <w:rFonts w:ascii="Cambria" w:cs="Cambria" w:eastAsia="Cambria" w:hAnsi="Cambria"/>
      <w:b w:val="1"/>
      <w:i w:val="1"/>
      <w:color w:val="4f81bd"/>
    </w:rPr>
  </w:style>
  <w:style w:type="paragraph" w:styleId="Heading5">
    <w:name w:val="heading 5"/>
    <w:basedOn w:val="Normal"/>
    <w:next w:val="Normal"/>
    <w:pPr>
      <w:spacing w:after="60" w:before="240" w:lineRule="auto"/>
    </w:pPr>
    <w:rPr>
      <w:rFonts w:ascii="Verdana" w:cs="Verdana" w:eastAsia="Verdana" w:hAnsi="Verdana"/>
      <w:b w:val="1"/>
      <w:i w:val="1"/>
      <w:sz w:val="26"/>
      <w:szCs w:val="26"/>
    </w:rPr>
  </w:style>
  <w:style w:type="paragraph" w:styleId="Heading6">
    <w:name w:val="heading 6"/>
    <w:basedOn w:val="Normal"/>
    <w:next w:val="Normal"/>
    <w:pPr>
      <w:spacing w:after="60" w:before="240" w:lineRule="auto"/>
    </w:pPr>
    <w:rPr>
      <w:b w:val="1"/>
      <w:sz w:val="22"/>
      <w:szCs w:val="22"/>
    </w:rPr>
  </w:style>
  <w:style w:type="paragraph" w:styleId="Title">
    <w:name w:val="Title"/>
    <w:basedOn w:val="Normal"/>
    <w:next w:val="Normal"/>
    <w:pPr>
      <w:spacing w:after="60" w:before="240" w:lineRule="auto"/>
      <w:jc w:val="center"/>
    </w:pPr>
    <w:rPr>
      <w:b w:val="1"/>
      <w:sz w:val="32"/>
      <w:szCs w:val="32"/>
    </w:rPr>
  </w:style>
  <w:style w:type="paragraph" w:styleId="Subtitle">
    <w:name w:val="Subtitle"/>
    <w:basedOn w:val="Normal"/>
    <w:next w:val="Normal"/>
    <w:pPr>
      <w:tabs>
        <w:tab w:val="left" w:pos="-1440"/>
        <w:tab w:val="left" w:pos="7200"/>
      </w:tabs>
      <w:ind w:left="630" w:right="634"/>
      <w:jc w:val="right"/>
    </w:pPr>
    <w:rPr>
      <w:rFonts w:ascii="Times New Roman" w:cs="Times New Roman" w:eastAsia="Times New Roman" w:hAnsi="Times New Roman"/>
      <w:b w:val="1"/>
      <w:sz w:val="24"/>
      <w:szCs w:val="24"/>
    </w:rPr>
  </w:style>
  <w:style w:type="table" w:styleId="Table1">
    <w:basedOn w:val="TableNormal"/>
    <w:pPr>
      <w:spacing w:after="0" w:before="0" w:lineRule="auto"/>
    </w:pPr>
    <w:rPr>
      <w:rFonts w:ascii="Calibri" w:cs="Calibri" w:eastAsia="Calibri" w:hAnsi="Calibri"/>
      <w:color w:val="366091"/>
      <w:sz w:val="20"/>
      <w:szCs w:val="20"/>
    </w:rPr>
    <w:tblPr>
      <w:tblStyleRowBandSize w:val="1"/>
      <w:tblStyleColBandSize w:val="1"/>
      <w:tblCellMar>
        <w:top w:w="0.0" w:type="dxa"/>
        <w:left w:w="115.0" w:type="dxa"/>
        <w:bottom w:w="0.0" w:type="dxa"/>
        <w:right w:w="115.0" w:type="dxa"/>
      </w:tblCellMar>
    </w:tblPr>
    <w:tcPr>
      <w:shd w:fill="ffffff" w:val="clear"/>
    </w:tcPr>
  </w:style>
  <w:style w:type="table" w:styleId="Table2">
    <w:basedOn w:val="TableNormal"/>
    <w:pPr>
      <w:spacing w:after="0" w:before="0" w:lineRule="auto"/>
    </w:pPr>
    <w:rPr>
      <w:rFonts w:ascii="Calibri" w:cs="Calibri" w:eastAsia="Calibri" w:hAnsi="Calibri"/>
      <w:color w:val="366091"/>
      <w:sz w:val="20"/>
      <w:szCs w:val="20"/>
    </w:rPr>
    <w:tblPr>
      <w:tblStyleRowBandSize w:val="1"/>
      <w:tblStyleColBandSize w:val="1"/>
      <w:tblCellMar>
        <w:top w:w="0.0" w:type="dxa"/>
        <w:left w:w="115.0" w:type="dxa"/>
        <w:bottom w:w="0.0" w:type="dxa"/>
        <w:right w:w="115.0" w:type="dxa"/>
      </w:tblCellMar>
    </w:tblPr>
    <w:tcPr>
      <w:shd w:fill="ffffff" w:val="clear"/>
    </w:tcPr>
  </w:style>
  <w:style w:type="table" w:styleId="Table3">
    <w:basedOn w:val="TableNormal"/>
    <w:pPr>
      <w:spacing w:after="0" w:before="0" w:lineRule="auto"/>
    </w:pPr>
    <w:rPr>
      <w:rFonts w:ascii="Calibri" w:cs="Calibri" w:eastAsia="Calibri" w:hAnsi="Calibri"/>
      <w:color w:val="366091"/>
      <w:sz w:val="20"/>
      <w:szCs w:val="20"/>
    </w:rPr>
    <w:tblPr>
      <w:tblStyleRowBandSize w:val="1"/>
      <w:tblStyleColBandSize w:val="1"/>
      <w:tblCellMar>
        <w:top w:w="0.0" w:type="dxa"/>
        <w:left w:w="115.0" w:type="dxa"/>
        <w:bottom w:w="0.0" w:type="dxa"/>
        <w:right w:w="115.0" w:type="dxa"/>
      </w:tblCellMar>
    </w:tblPr>
    <w:tcPr>
      <w:shd w:fill="ffffff" w:val="clear"/>
    </w:tcPr>
  </w:style>
  <w:style w:type="paragraph" w:styleId="Subtitle">
    <w:name w:val="Subtitle"/>
    <w:basedOn w:val="Normal"/>
    <w:next w:val="Normal"/>
    <w:pPr>
      <w:tabs>
        <w:tab w:val="left" w:pos="-1440"/>
        <w:tab w:val="left" w:pos="7200"/>
      </w:tabs>
      <w:ind w:left="630" w:right="634"/>
      <w:jc w:val="right"/>
    </w:pPr>
    <w:rPr>
      <w:rFonts w:ascii="Times New Roman" w:cs="Times New Roman" w:eastAsia="Times New Roman" w:hAnsi="Times New Roman"/>
      <w:b w:val="1"/>
      <w:sz w:val="24"/>
      <w:szCs w:val="24"/>
    </w:rPr>
  </w:style>
  <w:style w:type="table" w:styleId="Table1">
    <w:basedOn w:val="TableNormal"/>
    <w:pPr>
      <w:spacing w:after="0" w:before="0" w:lineRule="auto"/>
    </w:pPr>
    <w:rPr>
      <w:rFonts w:ascii="Calibri" w:cs="Calibri" w:eastAsia="Calibri" w:hAnsi="Calibri"/>
      <w:color w:val="366091"/>
      <w:sz w:val="20"/>
      <w:szCs w:val="20"/>
    </w:rPr>
    <w:tblPr>
      <w:tblStyleRowBandSize w:val="1"/>
      <w:tblStyleColBandSize w:val="1"/>
      <w:tblCellMar>
        <w:top w:w="0.0" w:type="dxa"/>
        <w:left w:w="115.0" w:type="dxa"/>
        <w:bottom w:w="0.0" w:type="dxa"/>
        <w:right w:w="115.0" w:type="dxa"/>
      </w:tblCellMar>
    </w:tblPr>
    <w:tcPr>
      <w:shd w:fill="ffffff" w:val="clear"/>
    </w:tcPr>
  </w:style>
  <w:style w:type="table" w:styleId="Table2">
    <w:basedOn w:val="TableNormal"/>
    <w:pPr>
      <w:spacing w:after="0" w:before="0" w:lineRule="auto"/>
    </w:pPr>
    <w:rPr>
      <w:rFonts w:ascii="Calibri" w:cs="Calibri" w:eastAsia="Calibri" w:hAnsi="Calibri"/>
      <w:color w:val="366091"/>
      <w:sz w:val="20"/>
      <w:szCs w:val="20"/>
    </w:rPr>
    <w:tblPr>
      <w:tblStyleRowBandSize w:val="1"/>
      <w:tblStyleColBandSize w:val="1"/>
      <w:tblCellMar>
        <w:top w:w="0.0" w:type="dxa"/>
        <w:left w:w="115.0" w:type="dxa"/>
        <w:bottom w:w="0.0" w:type="dxa"/>
        <w:right w:w="115.0" w:type="dxa"/>
      </w:tblCellMar>
    </w:tblPr>
    <w:tcPr>
      <w:shd w:fill="ffffff" w:val="clear"/>
    </w:tcPr>
  </w:style>
  <w:style w:type="table" w:styleId="Table3">
    <w:basedOn w:val="TableNormal"/>
    <w:pPr>
      <w:spacing w:after="0" w:before="0" w:lineRule="auto"/>
    </w:pPr>
    <w:rPr>
      <w:rFonts w:ascii="Calibri" w:cs="Calibri" w:eastAsia="Calibri" w:hAnsi="Calibri"/>
      <w:color w:val="366091"/>
      <w:sz w:val="20"/>
      <w:szCs w:val="20"/>
    </w:rPr>
    <w:tblPr>
      <w:tblStyleRowBandSize w:val="1"/>
      <w:tblStyleColBandSize w:val="1"/>
      <w:tblCellMar>
        <w:top w:w="0.0" w:type="dxa"/>
        <w:left w:w="115.0" w:type="dxa"/>
        <w:bottom w:w="0.0" w:type="dxa"/>
        <w:right w:w="115.0" w:type="dxa"/>
      </w:tblCellMar>
    </w:tblPr>
    <w:tcPr>
      <w:shd w:fill="ffffff" w:val="clear"/>
    </w:tc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fMjJdGTv55Fg+6NOj9D/XOBlkg==">AMUW2mUGkhOxFb+V5xWt5xmHPTO5S8uSJGVYaasXnbon7B1VQlGP59fDrOCeoknonMQ69X72sDkf6U3+pZBUL+TWp5J6H6AJYeD7O9tQ84SHrnyri+5zNqLvl4jTJytdlP1ytolmcBr1</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