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47DC" w14:textId="77777777" w:rsidR="00AE5428" w:rsidRPr="006525E6" w:rsidRDefault="00AE5428" w:rsidP="00BF2AA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>MAISON COMMUNE DES NATIONS UNIES</w:t>
      </w:r>
    </w:p>
    <w:p w14:paraId="6F6FB5A2" w14:textId="77777777" w:rsidR="00AE5428" w:rsidRPr="006525E6" w:rsidRDefault="00AE5428" w:rsidP="00BF2AA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>TERMES DE REFERENCE</w:t>
      </w:r>
      <w:r w:rsidR="00CF19EF" w:rsidRPr="006525E6">
        <w:rPr>
          <w:rFonts w:ascii="Arial" w:hAnsi="Arial" w:cs="Arial"/>
          <w:b/>
          <w:sz w:val="20"/>
          <w:szCs w:val="20"/>
        </w:rPr>
        <w:t xml:space="preserve"> POUR LA RECHERCHE D’UN BAIL </w:t>
      </w:r>
    </w:p>
    <w:p w14:paraId="2B980B94" w14:textId="77777777" w:rsidR="00AC6E4E" w:rsidRPr="006525E6" w:rsidRDefault="00AE5428" w:rsidP="00BF2AAA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>Contexte </w:t>
      </w:r>
      <w:r w:rsidR="00606A50" w:rsidRPr="006525E6">
        <w:rPr>
          <w:rFonts w:ascii="Arial" w:hAnsi="Arial" w:cs="Arial"/>
          <w:b/>
          <w:sz w:val="20"/>
          <w:szCs w:val="20"/>
        </w:rPr>
        <w:t>et Justification</w:t>
      </w:r>
    </w:p>
    <w:p w14:paraId="2062496C" w14:textId="77777777" w:rsidR="00201566" w:rsidRPr="006525E6" w:rsidRDefault="00CB2524" w:rsidP="00BF2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Le Système des Nations Unies en République de Guinée s’est engagé depuis septembre 2015 à mettre en œuvre les recommandations de l’Assemblée Générale </w:t>
      </w:r>
      <w:r w:rsidR="003C7FE8" w:rsidRPr="006525E6">
        <w:rPr>
          <w:rFonts w:ascii="Arial" w:hAnsi="Arial" w:cs="Arial"/>
          <w:sz w:val="20"/>
          <w:szCs w:val="20"/>
        </w:rPr>
        <w:t>du Conseil Economique et Social des Nations Unies</w:t>
      </w:r>
      <w:r w:rsidRPr="006525E6">
        <w:rPr>
          <w:rFonts w:ascii="Arial" w:hAnsi="Arial" w:cs="Arial"/>
          <w:sz w:val="20"/>
          <w:szCs w:val="20"/>
        </w:rPr>
        <w:t xml:space="preserve"> relatives à l’harmonisation des opérations </w:t>
      </w:r>
      <w:r w:rsidR="003C7FE8" w:rsidRPr="006525E6">
        <w:rPr>
          <w:rFonts w:ascii="Arial" w:hAnsi="Arial" w:cs="Arial"/>
          <w:sz w:val="20"/>
          <w:szCs w:val="20"/>
        </w:rPr>
        <w:t>de mise en œuvre des programmes et projets entre les agences du système des Nations Unies en vue de la réduction des</w:t>
      </w:r>
      <w:r w:rsidRPr="006525E6">
        <w:rPr>
          <w:rFonts w:ascii="Arial" w:hAnsi="Arial" w:cs="Arial"/>
          <w:sz w:val="20"/>
          <w:szCs w:val="20"/>
        </w:rPr>
        <w:t xml:space="preserve"> coût</w:t>
      </w:r>
      <w:r w:rsidR="003C7FE8" w:rsidRPr="006525E6">
        <w:rPr>
          <w:rFonts w:ascii="Arial" w:hAnsi="Arial" w:cs="Arial"/>
          <w:sz w:val="20"/>
          <w:szCs w:val="20"/>
        </w:rPr>
        <w:t>s</w:t>
      </w:r>
      <w:r w:rsidRPr="006525E6">
        <w:rPr>
          <w:rFonts w:ascii="Arial" w:hAnsi="Arial" w:cs="Arial"/>
          <w:sz w:val="20"/>
          <w:szCs w:val="20"/>
        </w:rPr>
        <w:t xml:space="preserve"> de transactions et </w:t>
      </w:r>
      <w:r w:rsidR="003C7FE8" w:rsidRPr="006525E6">
        <w:rPr>
          <w:rFonts w:ascii="Arial" w:hAnsi="Arial" w:cs="Arial"/>
          <w:sz w:val="20"/>
          <w:szCs w:val="20"/>
        </w:rPr>
        <w:t>éviter</w:t>
      </w:r>
      <w:r w:rsidRPr="006525E6">
        <w:rPr>
          <w:rFonts w:ascii="Arial" w:hAnsi="Arial" w:cs="Arial"/>
          <w:sz w:val="20"/>
          <w:szCs w:val="20"/>
        </w:rPr>
        <w:t xml:space="preserve"> la duplication de l’appui opérationnel à l’exécution des programmes. </w:t>
      </w:r>
      <w:r w:rsidR="00201566" w:rsidRPr="006525E6">
        <w:rPr>
          <w:rFonts w:ascii="Arial" w:hAnsi="Arial" w:cs="Arial"/>
          <w:sz w:val="20"/>
          <w:szCs w:val="20"/>
        </w:rPr>
        <w:t xml:space="preserve"> </w:t>
      </w:r>
    </w:p>
    <w:p w14:paraId="174E83B0" w14:textId="623885A6" w:rsidR="00201566" w:rsidRPr="006525E6" w:rsidRDefault="00201566" w:rsidP="00BF2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Dans ce cadre les agences des Nations Unies basées à Conakry œuvrent pour une mutualisation potentielle des locaux.</w:t>
      </w:r>
    </w:p>
    <w:p w14:paraId="558A6678" w14:textId="289E9182" w:rsidR="003C7FE8" w:rsidRPr="006525E6" w:rsidRDefault="00A13C9E" w:rsidP="00BF2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bCs/>
          <w:sz w:val="20"/>
          <w:szCs w:val="20"/>
        </w:rPr>
        <w:t xml:space="preserve">Elles </w:t>
      </w:r>
      <w:r w:rsidR="0070259B" w:rsidRPr="006525E6">
        <w:rPr>
          <w:rFonts w:ascii="Arial" w:hAnsi="Arial" w:cs="Arial"/>
          <w:bCs/>
          <w:sz w:val="20"/>
          <w:szCs w:val="20"/>
        </w:rPr>
        <w:t xml:space="preserve">ont résolu chercher un bail commercial comme solution. </w:t>
      </w:r>
    </w:p>
    <w:p w14:paraId="3989E130" w14:textId="77777777" w:rsidR="005C203B" w:rsidRPr="006525E6" w:rsidRDefault="005C203B" w:rsidP="00BF2AAA">
      <w:pPr>
        <w:spacing w:line="240" w:lineRule="auto"/>
        <w:rPr>
          <w:rFonts w:ascii="Arial" w:hAnsi="Arial" w:cs="Arial"/>
          <w:sz w:val="20"/>
          <w:szCs w:val="20"/>
        </w:rPr>
      </w:pPr>
    </w:p>
    <w:p w14:paraId="7990C5E0" w14:textId="77777777" w:rsidR="002A3BD7" w:rsidRPr="006525E6" w:rsidRDefault="0034418E" w:rsidP="00BF2AAA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>Objectif</w:t>
      </w:r>
      <w:r w:rsidR="00AE5428" w:rsidRPr="006525E6">
        <w:rPr>
          <w:rFonts w:ascii="Arial" w:hAnsi="Arial" w:cs="Arial"/>
          <w:b/>
          <w:sz w:val="20"/>
          <w:szCs w:val="20"/>
        </w:rPr>
        <w:t> </w:t>
      </w:r>
      <w:r w:rsidR="00F418E6" w:rsidRPr="006525E6">
        <w:rPr>
          <w:rFonts w:ascii="Arial" w:hAnsi="Arial" w:cs="Arial"/>
          <w:b/>
          <w:sz w:val="20"/>
          <w:szCs w:val="20"/>
        </w:rPr>
        <w:t>et But</w:t>
      </w:r>
    </w:p>
    <w:p w14:paraId="5D658DFB" w14:textId="03EB9B9D" w:rsidR="002107A9" w:rsidRPr="006525E6" w:rsidRDefault="005C203B" w:rsidP="00BF2AAA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5E6">
        <w:rPr>
          <w:rFonts w:ascii="Arial" w:hAnsi="Arial" w:cs="Arial"/>
          <w:bCs/>
          <w:sz w:val="20"/>
          <w:szCs w:val="20"/>
        </w:rPr>
        <w:t>L’objectif</w:t>
      </w:r>
      <w:r w:rsidR="008A7B7F" w:rsidRPr="006525E6">
        <w:rPr>
          <w:rFonts w:ascii="Arial" w:hAnsi="Arial" w:cs="Arial"/>
          <w:bCs/>
          <w:sz w:val="20"/>
          <w:szCs w:val="20"/>
        </w:rPr>
        <w:t xml:space="preserve"> principal </w:t>
      </w:r>
      <w:r w:rsidR="00993EEC" w:rsidRPr="006525E6">
        <w:rPr>
          <w:rFonts w:ascii="Arial" w:hAnsi="Arial" w:cs="Arial"/>
          <w:bCs/>
          <w:sz w:val="20"/>
          <w:szCs w:val="20"/>
        </w:rPr>
        <w:t>est de</w:t>
      </w:r>
      <w:r w:rsidR="00606A50" w:rsidRPr="006525E6">
        <w:rPr>
          <w:rFonts w:ascii="Arial" w:hAnsi="Arial" w:cs="Arial"/>
          <w:bCs/>
          <w:sz w:val="20"/>
          <w:szCs w:val="20"/>
        </w:rPr>
        <w:t xml:space="preserve"> trouver des bureaux communs qui offrent un meilleur cadre de travail </w:t>
      </w:r>
      <w:r w:rsidR="003F169A" w:rsidRPr="006525E6">
        <w:rPr>
          <w:rFonts w:ascii="Arial" w:hAnsi="Arial" w:cs="Arial"/>
          <w:bCs/>
          <w:sz w:val="20"/>
          <w:szCs w:val="20"/>
        </w:rPr>
        <w:t xml:space="preserve">viable </w:t>
      </w:r>
      <w:r w:rsidR="00606A50" w:rsidRPr="006525E6">
        <w:rPr>
          <w:rFonts w:ascii="Arial" w:hAnsi="Arial" w:cs="Arial"/>
          <w:bCs/>
          <w:sz w:val="20"/>
          <w:szCs w:val="20"/>
        </w:rPr>
        <w:t xml:space="preserve">en toute sécurité dans le périmètre de </w:t>
      </w:r>
      <w:r w:rsidR="00EE4E6E" w:rsidRPr="006525E6">
        <w:rPr>
          <w:rFonts w:ascii="Arial" w:hAnsi="Arial" w:cs="Arial"/>
          <w:bCs/>
          <w:sz w:val="20"/>
          <w:szCs w:val="20"/>
        </w:rPr>
        <w:t>sécurité tel</w:t>
      </w:r>
      <w:r w:rsidR="00606A50" w:rsidRPr="006525E6">
        <w:rPr>
          <w:rFonts w:ascii="Arial" w:hAnsi="Arial" w:cs="Arial"/>
          <w:bCs/>
          <w:sz w:val="20"/>
          <w:szCs w:val="20"/>
        </w:rPr>
        <w:t xml:space="preserve"> que circonscrit par le système de sécurité du SNU en République de Guinée.</w:t>
      </w:r>
    </w:p>
    <w:p w14:paraId="4204219A" w14:textId="15D23847" w:rsidR="003F169A" w:rsidRPr="006525E6" w:rsidRDefault="00F418E6" w:rsidP="00BF2AAA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5E6">
        <w:rPr>
          <w:rFonts w:ascii="Arial" w:hAnsi="Arial" w:cs="Arial"/>
          <w:bCs/>
          <w:sz w:val="20"/>
          <w:szCs w:val="20"/>
        </w:rPr>
        <w:t>Le but c’est signé un contrat initial de 5 ans</w:t>
      </w:r>
      <w:r w:rsidR="00EE4E6E" w:rsidRPr="006525E6">
        <w:rPr>
          <w:rFonts w:ascii="Arial" w:hAnsi="Arial" w:cs="Arial"/>
          <w:bCs/>
          <w:sz w:val="20"/>
          <w:szCs w:val="20"/>
        </w:rPr>
        <w:t xml:space="preserve"> au maximum</w:t>
      </w:r>
      <w:r w:rsidRPr="006525E6">
        <w:rPr>
          <w:rFonts w:ascii="Arial" w:hAnsi="Arial" w:cs="Arial"/>
          <w:bCs/>
          <w:sz w:val="20"/>
          <w:szCs w:val="20"/>
        </w:rPr>
        <w:t xml:space="preserve"> entre les agences </w:t>
      </w:r>
      <w:r w:rsidR="00B47ABA" w:rsidRPr="006525E6">
        <w:rPr>
          <w:rFonts w:ascii="Arial" w:hAnsi="Arial" w:cs="Arial"/>
          <w:bCs/>
          <w:sz w:val="20"/>
          <w:szCs w:val="20"/>
        </w:rPr>
        <w:t>suscitées représentée par le UNDP, avec un bailleur ayant un statut juridique en République de Guinée.</w:t>
      </w:r>
    </w:p>
    <w:p w14:paraId="4F79563D" w14:textId="00BD80AC" w:rsidR="002A3BD7" w:rsidRPr="006525E6" w:rsidRDefault="003F169A" w:rsidP="00BF2AAA">
      <w:pPr>
        <w:pStyle w:val="Paragraphedeliste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>Identification des besoins</w:t>
      </w:r>
    </w:p>
    <w:p w14:paraId="631B56BB" w14:textId="77777777" w:rsidR="00993EEC" w:rsidRPr="006525E6" w:rsidRDefault="00993EEC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EE49A2" w14:textId="3F815DF5" w:rsidR="0034418E" w:rsidRPr="006525E6" w:rsidRDefault="00993EEC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Cet appel </w:t>
      </w:r>
      <w:r w:rsidR="004D0282" w:rsidRPr="006525E6">
        <w:rPr>
          <w:rFonts w:ascii="Arial" w:hAnsi="Arial" w:cs="Arial"/>
          <w:sz w:val="20"/>
          <w:szCs w:val="20"/>
        </w:rPr>
        <w:t>à</w:t>
      </w:r>
      <w:r w:rsidRPr="006525E6">
        <w:rPr>
          <w:rFonts w:ascii="Arial" w:hAnsi="Arial" w:cs="Arial"/>
          <w:sz w:val="20"/>
          <w:szCs w:val="20"/>
        </w:rPr>
        <w:t xml:space="preserve"> expression d’</w:t>
      </w:r>
      <w:r w:rsidR="004D0282" w:rsidRPr="006525E6">
        <w:rPr>
          <w:rFonts w:ascii="Arial" w:hAnsi="Arial" w:cs="Arial"/>
          <w:sz w:val="20"/>
          <w:szCs w:val="20"/>
        </w:rPr>
        <w:t>intérêt</w:t>
      </w:r>
      <w:r w:rsidRPr="006525E6">
        <w:rPr>
          <w:rFonts w:ascii="Arial" w:hAnsi="Arial" w:cs="Arial"/>
          <w:sz w:val="20"/>
          <w:szCs w:val="20"/>
        </w:rPr>
        <w:t xml:space="preserve"> a pour but d’examiner la </w:t>
      </w:r>
      <w:r w:rsidR="004D0282" w:rsidRPr="006525E6">
        <w:rPr>
          <w:rFonts w:ascii="Arial" w:hAnsi="Arial" w:cs="Arial"/>
          <w:sz w:val="20"/>
          <w:szCs w:val="20"/>
        </w:rPr>
        <w:t>disponibilité</w:t>
      </w:r>
      <w:r w:rsidRPr="006525E6">
        <w:rPr>
          <w:rFonts w:ascii="Arial" w:hAnsi="Arial" w:cs="Arial"/>
          <w:sz w:val="20"/>
          <w:szCs w:val="20"/>
        </w:rPr>
        <w:t xml:space="preserve"> de locaux qui peuvent abriter le personnel des Nations </w:t>
      </w:r>
      <w:proofErr w:type="spellStart"/>
      <w:r w:rsidRPr="006525E6">
        <w:rPr>
          <w:rFonts w:ascii="Arial" w:hAnsi="Arial" w:cs="Arial"/>
          <w:sz w:val="20"/>
          <w:szCs w:val="20"/>
        </w:rPr>
        <w:t>Unies</w:t>
      </w:r>
      <w:r w:rsidR="00BF4F11" w:rsidRPr="006525E6">
        <w:rPr>
          <w:rFonts w:ascii="Arial" w:hAnsi="Arial" w:cs="Arial"/>
          <w:sz w:val="20"/>
          <w:szCs w:val="20"/>
        </w:rPr>
        <w:t>.</w:t>
      </w:r>
      <w:r w:rsidR="0034418E" w:rsidRPr="006525E6">
        <w:rPr>
          <w:rFonts w:ascii="Arial" w:hAnsi="Arial" w:cs="Arial"/>
          <w:sz w:val="20"/>
          <w:szCs w:val="20"/>
        </w:rPr>
        <w:t>Les</w:t>
      </w:r>
      <w:proofErr w:type="spellEnd"/>
      <w:r w:rsidR="0034418E" w:rsidRPr="006525E6">
        <w:rPr>
          <w:rFonts w:ascii="Arial" w:hAnsi="Arial" w:cs="Arial"/>
          <w:sz w:val="20"/>
          <w:szCs w:val="20"/>
        </w:rPr>
        <w:t xml:space="preserve"> bâtiments </w:t>
      </w:r>
      <w:r w:rsidR="00F418E6" w:rsidRPr="006525E6">
        <w:rPr>
          <w:rFonts w:ascii="Arial" w:hAnsi="Arial" w:cs="Arial"/>
          <w:sz w:val="20"/>
          <w:szCs w:val="20"/>
        </w:rPr>
        <w:t xml:space="preserve">doivent offrir un cadre qui puisse accommoder </w:t>
      </w:r>
      <w:r w:rsidR="007A3A73" w:rsidRPr="006525E6">
        <w:rPr>
          <w:rFonts w:ascii="Arial" w:hAnsi="Arial" w:cs="Arial"/>
          <w:sz w:val="20"/>
          <w:szCs w:val="20"/>
          <w:highlight w:val="green"/>
        </w:rPr>
        <w:t xml:space="preserve">233 </w:t>
      </w:r>
      <w:r w:rsidR="0034418E" w:rsidRPr="006525E6">
        <w:rPr>
          <w:rFonts w:ascii="Arial" w:hAnsi="Arial" w:cs="Arial"/>
          <w:sz w:val="20"/>
          <w:szCs w:val="20"/>
          <w:highlight w:val="green"/>
        </w:rPr>
        <w:t>employés</w:t>
      </w:r>
      <w:r w:rsidR="007A3A73" w:rsidRPr="006525E6">
        <w:rPr>
          <w:rFonts w:ascii="Arial" w:hAnsi="Arial" w:cs="Arial"/>
          <w:sz w:val="20"/>
          <w:szCs w:val="20"/>
        </w:rPr>
        <w:t xml:space="preserve">, pour un besoin </w:t>
      </w:r>
      <w:r w:rsidRPr="006525E6">
        <w:rPr>
          <w:rFonts w:ascii="Arial" w:hAnsi="Arial" w:cs="Arial"/>
          <w:sz w:val="20"/>
          <w:szCs w:val="20"/>
        </w:rPr>
        <w:t xml:space="preserve">minimal </w:t>
      </w:r>
      <w:r w:rsidR="007A3A73" w:rsidRPr="006525E6">
        <w:rPr>
          <w:rFonts w:ascii="Arial" w:hAnsi="Arial" w:cs="Arial"/>
          <w:sz w:val="20"/>
          <w:szCs w:val="20"/>
        </w:rPr>
        <w:t xml:space="preserve">total en bureaux de </w:t>
      </w:r>
      <w:r w:rsidR="007A3A73" w:rsidRPr="006525E6">
        <w:rPr>
          <w:rFonts w:ascii="Arial" w:hAnsi="Arial" w:cs="Arial"/>
          <w:sz w:val="20"/>
          <w:szCs w:val="20"/>
          <w:highlight w:val="green"/>
        </w:rPr>
        <w:t>1 5</w:t>
      </w:r>
      <w:r w:rsidRPr="006525E6">
        <w:rPr>
          <w:rFonts w:ascii="Arial" w:hAnsi="Arial" w:cs="Arial"/>
          <w:sz w:val="20"/>
          <w:szCs w:val="20"/>
          <w:highlight w:val="green"/>
        </w:rPr>
        <w:t>38</w:t>
      </w:r>
      <w:r w:rsidR="007A3A73" w:rsidRPr="006525E6">
        <w:rPr>
          <w:rFonts w:ascii="Arial" w:hAnsi="Arial" w:cs="Arial"/>
          <w:sz w:val="20"/>
          <w:szCs w:val="20"/>
          <w:highlight w:val="green"/>
        </w:rPr>
        <w:t xml:space="preserve"> m2</w:t>
      </w:r>
      <w:r w:rsidR="007A3A73" w:rsidRPr="006525E6">
        <w:rPr>
          <w:rFonts w:ascii="Arial" w:hAnsi="Arial" w:cs="Arial"/>
          <w:sz w:val="20"/>
          <w:szCs w:val="20"/>
        </w:rPr>
        <w:t xml:space="preserve">, </w:t>
      </w:r>
      <w:r w:rsidR="00AD7D08" w:rsidRPr="006525E6">
        <w:rPr>
          <w:rFonts w:ascii="Arial" w:hAnsi="Arial" w:cs="Arial"/>
          <w:sz w:val="20"/>
          <w:szCs w:val="20"/>
        </w:rPr>
        <w:t xml:space="preserve">des espaces communs de </w:t>
      </w:r>
      <w:r w:rsidR="00AD7D08" w:rsidRPr="006525E6">
        <w:rPr>
          <w:rFonts w:ascii="Arial" w:hAnsi="Arial" w:cs="Arial"/>
          <w:sz w:val="20"/>
          <w:szCs w:val="20"/>
          <w:highlight w:val="green"/>
        </w:rPr>
        <w:t>96</w:t>
      </w:r>
      <w:r w:rsidR="004D0282" w:rsidRPr="006525E6">
        <w:rPr>
          <w:rFonts w:ascii="Arial" w:hAnsi="Arial" w:cs="Arial"/>
          <w:sz w:val="20"/>
          <w:szCs w:val="20"/>
          <w:highlight w:val="green"/>
        </w:rPr>
        <w:t>8</w:t>
      </w:r>
      <w:r w:rsidR="00AD7D08" w:rsidRPr="006525E6">
        <w:rPr>
          <w:rFonts w:ascii="Arial" w:hAnsi="Arial" w:cs="Arial"/>
          <w:sz w:val="20"/>
          <w:szCs w:val="20"/>
          <w:highlight w:val="green"/>
        </w:rPr>
        <w:t>.</w:t>
      </w:r>
      <w:r w:rsidR="004D0282" w:rsidRPr="006525E6">
        <w:rPr>
          <w:rFonts w:ascii="Arial" w:hAnsi="Arial" w:cs="Arial"/>
          <w:sz w:val="20"/>
          <w:szCs w:val="20"/>
          <w:highlight w:val="green"/>
        </w:rPr>
        <w:t>94</w:t>
      </w:r>
      <w:r w:rsidR="00AD7D08" w:rsidRPr="006525E6">
        <w:rPr>
          <w:rFonts w:ascii="Arial" w:hAnsi="Arial" w:cs="Arial"/>
          <w:sz w:val="20"/>
          <w:szCs w:val="20"/>
          <w:highlight w:val="green"/>
        </w:rPr>
        <w:t xml:space="preserve"> m2</w:t>
      </w:r>
      <w:r w:rsidR="00AD7D08" w:rsidRPr="006525E6">
        <w:rPr>
          <w:rFonts w:ascii="Arial" w:hAnsi="Arial" w:cs="Arial"/>
          <w:sz w:val="20"/>
          <w:szCs w:val="20"/>
        </w:rPr>
        <w:t xml:space="preserve"> et </w:t>
      </w:r>
      <w:r w:rsidR="007A3A73" w:rsidRPr="006525E6">
        <w:rPr>
          <w:rFonts w:ascii="Arial" w:hAnsi="Arial" w:cs="Arial"/>
          <w:sz w:val="20"/>
          <w:szCs w:val="20"/>
        </w:rPr>
        <w:t xml:space="preserve">un parking ayant une superficie d’au </w:t>
      </w:r>
      <w:r w:rsidR="004D0282" w:rsidRPr="006525E6">
        <w:rPr>
          <w:rFonts w:ascii="Arial" w:hAnsi="Arial" w:cs="Arial"/>
          <w:sz w:val="20"/>
          <w:szCs w:val="20"/>
        </w:rPr>
        <w:t xml:space="preserve">moins </w:t>
      </w:r>
      <w:r w:rsidR="004D0282" w:rsidRPr="006525E6">
        <w:rPr>
          <w:rFonts w:ascii="Arial" w:hAnsi="Arial" w:cs="Arial"/>
          <w:sz w:val="20"/>
          <w:szCs w:val="20"/>
          <w:highlight w:val="green"/>
        </w:rPr>
        <w:t>950</w:t>
      </w:r>
      <w:r w:rsidR="007A13F0" w:rsidRPr="006525E6">
        <w:rPr>
          <w:rFonts w:ascii="Arial" w:hAnsi="Arial" w:cs="Arial"/>
          <w:sz w:val="20"/>
          <w:szCs w:val="20"/>
          <w:highlight w:val="green"/>
        </w:rPr>
        <w:t xml:space="preserve"> m</w:t>
      </w:r>
      <w:r w:rsidR="007A13F0" w:rsidRPr="006525E6">
        <w:rPr>
          <w:rFonts w:ascii="Arial" w:hAnsi="Arial" w:cs="Arial"/>
          <w:sz w:val="20"/>
          <w:szCs w:val="20"/>
          <w:highlight w:val="green"/>
          <w:vertAlign w:val="superscript"/>
        </w:rPr>
        <w:t>2</w:t>
      </w:r>
      <w:r w:rsidR="007A13F0" w:rsidRPr="006525E6">
        <w:rPr>
          <w:rFonts w:ascii="Arial" w:hAnsi="Arial" w:cs="Arial"/>
          <w:sz w:val="20"/>
          <w:szCs w:val="20"/>
        </w:rPr>
        <w:t xml:space="preserve"> </w:t>
      </w:r>
      <w:r w:rsidR="00BF4F11" w:rsidRPr="006525E6">
        <w:rPr>
          <w:rFonts w:ascii="Arial" w:hAnsi="Arial" w:cs="Arial"/>
          <w:sz w:val="20"/>
          <w:szCs w:val="20"/>
        </w:rPr>
        <w:t>.</w:t>
      </w:r>
    </w:p>
    <w:p w14:paraId="4C94057A" w14:textId="6750828A" w:rsidR="004D0282" w:rsidRPr="006525E6" w:rsidRDefault="001E2233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C</w:t>
      </w:r>
      <w:r w:rsidR="004D0282" w:rsidRPr="006525E6">
        <w:rPr>
          <w:rFonts w:ascii="Arial" w:hAnsi="Arial" w:cs="Arial"/>
          <w:sz w:val="20"/>
          <w:szCs w:val="20"/>
        </w:rPr>
        <w:t xml:space="preserve">omme détaillé dans le tableau ci-dessous.  </w:t>
      </w:r>
    </w:p>
    <w:tbl>
      <w:tblPr>
        <w:tblW w:w="8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720"/>
        <w:gridCol w:w="1890"/>
        <w:gridCol w:w="1980"/>
      </w:tblGrid>
      <w:tr w:rsidR="00E1443D" w:rsidRPr="006525E6" w14:paraId="48283D04" w14:textId="77777777" w:rsidTr="00E1443D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253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F93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7CC" w14:textId="77777777" w:rsidR="00E1443D" w:rsidRPr="006525E6" w:rsidRDefault="00E1443D" w:rsidP="00BF2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Maison commune uniquement </w:t>
            </w:r>
          </w:p>
        </w:tc>
      </w:tr>
      <w:tr w:rsidR="00E1443D" w:rsidRPr="006525E6" w14:paraId="521DCF08" w14:textId="77777777" w:rsidTr="00E1443D">
        <w:trPr>
          <w:trHeight w:val="636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A5BC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EA9F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C0FB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Maison Commune </w:t>
            </w:r>
            <w:proofErr w:type="spellStart"/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Coleah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5A9D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Area </w:t>
            </w:r>
          </w:p>
        </w:tc>
      </w:tr>
      <w:tr w:rsidR="00E1443D" w:rsidRPr="006525E6" w14:paraId="3352B437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0DE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Director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721E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133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55F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E1443D" w:rsidRPr="006525E6" w14:paraId="22B2BDE7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AED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7A83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811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F444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E1443D" w:rsidRPr="006525E6" w14:paraId="6A5B6960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88E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DEC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E482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DE5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</w:t>
            </w:r>
          </w:p>
        </w:tc>
      </w:tr>
      <w:tr w:rsidR="00E1443D" w:rsidRPr="006525E6" w14:paraId="1F259721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6D07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contrats internationaux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316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243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410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132</w:t>
            </w:r>
          </w:p>
        </w:tc>
      </w:tr>
      <w:tr w:rsidR="00E1443D" w:rsidRPr="006525E6" w14:paraId="410E96B2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238171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298538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5E3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6F3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</w:t>
            </w:r>
          </w:p>
        </w:tc>
      </w:tr>
      <w:tr w:rsidR="00E1443D" w:rsidRPr="006525E6" w14:paraId="2F255F3C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F4A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87EA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36B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752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1092</w:t>
            </w:r>
          </w:p>
        </w:tc>
      </w:tr>
      <w:tr w:rsidR="00E1443D" w:rsidRPr="006525E6" w14:paraId="18A89C97" w14:textId="77777777" w:rsidTr="00E1443D">
        <w:trPr>
          <w:trHeight w:val="312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35FA8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98839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488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65F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950</w:t>
            </w:r>
          </w:p>
        </w:tc>
      </w:tr>
      <w:tr w:rsidR="00E1443D" w:rsidRPr="006525E6" w14:paraId="4A9997F7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B80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B47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252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39F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2488</w:t>
            </w:r>
          </w:p>
        </w:tc>
      </w:tr>
      <w:tr w:rsidR="00E1443D" w:rsidRPr="006525E6" w14:paraId="6D471890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3AA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Ss total Espace communs (couloirs, toilettes, escaliers, etc.) : 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793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953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FF5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461.4</w:t>
            </w:r>
          </w:p>
        </w:tc>
      </w:tr>
      <w:tr w:rsidR="00E1443D" w:rsidRPr="006525E6" w14:paraId="363E7B0F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46BE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Ss total Salle de conférence, d'archives, machines, etc. : 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FBC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AAC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E59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261.46</w:t>
            </w:r>
          </w:p>
        </w:tc>
      </w:tr>
      <w:tr w:rsidR="00E1443D" w:rsidRPr="006525E6" w14:paraId="4C5B002D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D78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Ss total Espace de circulation interne : 13%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EDB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C1F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C75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199.94</w:t>
            </w:r>
          </w:p>
        </w:tc>
      </w:tr>
      <w:tr w:rsidR="00E1443D" w:rsidRPr="006525E6" w14:paraId="2630F2BB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F01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Ss total Autres espaces morts : 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F56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E9C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6FC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46.14</w:t>
            </w:r>
          </w:p>
        </w:tc>
      </w:tr>
      <w:tr w:rsidR="00E1443D" w:rsidRPr="006525E6" w14:paraId="002B1302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521" w14:textId="3685CDAB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Superficie intérieure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A9F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21D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66FE5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2506.94</w:t>
            </w:r>
          </w:p>
        </w:tc>
      </w:tr>
      <w:tr w:rsidR="00E1443D" w:rsidRPr="006525E6" w14:paraId="72FAEAD5" w14:textId="77777777" w:rsidTr="00E1443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36B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Superficie extérieure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27B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33F" w14:textId="77777777" w:rsidR="00E1443D" w:rsidRPr="006525E6" w:rsidRDefault="00E1443D" w:rsidP="00BF2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09FF7" w14:textId="77777777" w:rsidR="00E1443D" w:rsidRPr="006525E6" w:rsidRDefault="00E1443D" w:rsidP="00BF2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3456.94</w:t>
            </w:r>
          </w:p>
        </w:tc>
      </w:tr>
    </w:tbl>
    <w:p w14:paraId="655969E0" w14:textId="77777777" w:rsidR="004D0282" w:rsidRPr="006525E6" w:rsidRDefault="004D0282" w:rsidP="00BF2AA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9B8432" w14:textId="77777777" w:rsidR="006B03D9" w:rsidRPr="006525E6" w:rsidRDefault="006B03D9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lastRenderedPageBreak/>
        <w:t xml:space="preserve">Les </w:t>
      </w:r>
      <w:r w:rsidR="00CF19EF" w:rsidRPr="006525E6">
        <w:rPr>
          <w:rFonts w:ascii="Arial" w:hAnsi="Arial" w:cs="Arial"/>
          <w:sz w:val="20"/>
          <w:szCs w:val="20"/>
        </w:rPr>
        <w:t>bâtiments</w:t>
      </w:r>
      <w:r w:rsidRPr="006525E6">
        <w:rPr>
          <w:rFonts w:ascii="Arial" w:hAnsi="Arial" w:cs="Arial"/>
          <w:sz w:val="20"/>
          <w:szCs w:val="20"/>
        </w:rPr>
        <w:t xml:space="preserve"> à loués doivent non seulement satisfaire les besoins ci-dessus mais aussi, remplir les caractéristiques architecturales et </w:t>
      </w:r>
      <w:r w:rsidR="00CF19EF" w:rsidRPr="006525E6">
        <w:rPr>
          <w:rFonts w:ascii="Arial" w:hAnsi="Arial" w:cs="Arial"/>
          <w:sz w:val="20"/>
          <w:szCs w:val="20"/>
        </w:rPr>
        <w:t>les exigences administratives tels que détaillés dans les termes de référence ci-dessous.</w:t>
      </w:r>
    </w:p>
    <w:p w14:paraId="742B21E4" w14:textId="77777777" w:rsidR="00AD7D08" w:rsidRPr="006525E6" w:rsidRDefault="00AD7D08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712C83" w14:textId="77777777" w:rsidR="002A3BD7" w:rsidRPr="006525E6" w:rsidRDefault="002A3BD7" w:rsidP="00BF2AAA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>Termes de référence</w:t>
      </w:r>
    </w:p>
    <w:p w14:paraId="46C56D8A" w14:textId="39F7E39F" w:rsidR="00CF19EF" w:rsidRPr="006525E6" w:rsidRDefault="00CF19EF" w:rsidP="00BF2AAA">
      <w:pPr>
        <w:spacing w:line="240" w:lineRule="auto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Les bâtiments à louer doivent remplir les exigences suivantes :</w:t>
      </w:r>
    </w:p>
    <w:p w14:paraId="75E428CB" w14:textId="07179018" w:rsidR="00E50DAB" w:rsidRPr="006525E6" w:rsidRDefault="00E50DAB" w:rsidP="00BF2AAA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bookmarkStart w:id="0" w:name="_Hlk83123960"/>
      <w:r w:rsidRPr="006525E6">
        <w:rPr>
          <w:rFonts w:ascii="Arial" w:hAnsi="Arial" w:cs="Arial"/>
          <w:b/>
          <w:bCs/>
          <w:sz w:val="20"/>
          <w:szCs w:val="20"/>
        </w:rPr>
        <w:t>Bâtiments déjà construits</w:t>
      </w:r>
    </w:p>
    <w:p w14:paraId="2DFFA736" w14:textId="2CE38173" w:rsidR="00E50DAB" w:rsidRPr="006525E6" w:rsidRDefault="00E50DAB" w:rsidP="00BF2AAA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6525E6">
        <w:rPr>
          <w:rFonts w:ascii="Arial" w:hAnsi="Arial" w:cs="Arial"/>
          <w:b/>
          <w:bCs/>
          <w:sz w:val="20"/>
          <w:szCs w:val="20"/>
        </w:rPr>
        <w:t>Bâtiments en cours de construction (Prière de fournir les détails sur les dates d’achèvement des travaux)</w:t>
      </w:r>
    </w:p>
    <w:p w14:paraId="3D5373ED" w14:textId="2D6C10B1" w:rsidR="00E50DAB" w:rsidRPr="006525E6" w:rsidRDefault="00E50DAB" w:rsidP="00BF2AAA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b/>
          <w:bCs/>
          <w:sz w:val="20"/>
          <w:szCs w:val="20"/>
        </w:rPr>
        <w:t>Bâtiments en projet de construction (Prière de fournir les détails sur les dates d’achèvement des travaux)</w:t>
      </w:r>
      <w:r w:rsidR="00E1443D" w:rsidRPr="006525E6">
        <w:rPr>
          <w:rFonts w:ascii="Arial" w:hAnsi="Arial" w:cs="Arial"/>
          <w:b/>
          <w:bCs/>
          <w:sz w:val="20"/>
          <w:szCs w:val="20"/>
        </w:rPr>
        <w:br/>
      </w:r>
    </w:p>
    <w:bookmarkEnd w:id="0"/>
    <w:p w14:paraId="1F0819B5" w14:textId="55F1B1EC" w:rsidR="002A3BD7" w:rsidRPr="006525E6" w:rsidRDefault="00CF19EF" w:rsidP="00BF2AAA">
      <w:pPr>
        <w:spacing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 xml:space="preserve">IV.1. </w:t>
      </w:r>
      <w:r w:rsidR="00340890" w:rsidRPr="006525E6">
        <w:rPr>
          <w:rFonts w:ascii="Arial" w:hAnsi="Arial" w:cs="Arial"/>
          <w:b/>
          <w:sz w:val="20"/>
          <w:szCs w:val="20"/>
        </w:rPr>
        <w:t>Caractéristiques architecturales</w:t>
      </w:r>
    </w:p>
    <w:p w14:paraId="14CEEEAD" w14:textId="77777777" w:rsidR="00CF19EF" w:rsidRPr="006525E6" w:rsidRDefault="0034418E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Les bâtiments recherchés doivent obéir à certaines caractéristiques architecturales</w:t>
      </w:r>
      <w:r w:rsidR="00446AF5" w:rsidRPr="006525E6">
        <w:rPr>
          <w:rFonts w:ascii="Arial" w:hAnsi="Arial" w:cs="Arial"/>
          <w:sz w:val="20"/>
          <w:szCs w:val="20"/>
        </w:rPr>
        <w:t xml:space="preserve"> qui permettent d’assurer les conditions de confort et de sécurité. Ainsi, bien que non exhaustives, </w:t>
      </w:r>
      <w:r w:rsidR="00CF19EF" w:rsidRPr="006525E6">
        <w:rPr>
          <w:rFonts w:ascii="Arial" w:hAnsi="Arial" w:cs="Arial"/>
          <w:sz w:val="20"/>
          <w:szCs w:val="20"/>
        </w:rPr>
        <w:t>les bâtiments doivent avoir :</w:t>
      </w:r>
    </w:p>
    <w:p w14:paraId="6D970BA4" w14:textId="29078BEC" w:rsidR="006525E6" w:rsidRPr="006525E6" w:rsidRDefault="006525E6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Les bâtiments doivent avoir les documents suivants </w:t>
      </w:r>
    </w:p>
    <w:p w14:paraId="56A67E40" w14:textId="20A7BBFC" w:rsidR="006525E6" w:rsidRPr="006525E6" w:rsidRDefault="006525E6" w:rsidP="00BF2AAA">
      <w:pPr>
        <w:pStyle w:val="Default"/>
        <w:numPr>
          <w:ilvl w:val="1"/>
          <w:numId w:val="4"/>
        </w:numPr>
        <w:spacing w:after="39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Permis de construire (</w:t>
      </w:r>
      <w:r w:rsidRPr="006525E6">
        <w:rPr>
          <w:rFonts w:ascii="Arial" w:hAnsi="Arial" w:cs="Arial"/>
          <w:sz w:val="20"/>
          <w:szCs w:val="20"/>
          <w:highlight w:val="yellow"/>
        </w:rPr>
        <w:t>pour les bâtiments déjà construits ou en cours de constructions</w:t>
      </w:r>
      <w:r w:rsidRPr="006525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525E6">
        <w:rPr>
          <w:rFonts w:ascii="Arial" w:hAnsi="Arial" w:cs="Arial"/>
          <w:sz w:val="20"/>
          <w:szCs w:val="20"/>
        </w:rPr>
        <w:t xml:space="preserve"> </w:t>
      </w:r>
    </w:p>
    <w:p w14:paraId="4C4637D6" w14:textId="77777777" w:rsidR="006525E6" w:rsidRPr="006525E6" w:rsidRDefault="006525E6" w:rsidP="00BF2AAA">
      <w:pPr>
        <w:pStyle w:val="Default"/>
        <w:numPr>
          <w:ilvl w:val="1"/>
          <w:numId w:val="4"/>
        </w:numPr>
        <w:spacing w:after="39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Plan du site </w:t>
      </w:r>
    </w:p>
    <w:p w14:paraId="3CD8FDBC" w14:textId="77777777" w:rsidR="006525E6" w:rsidRPr="006525E6" w:rsidRDefault="006525E6" w:rsidP="00BF2AAA">
      <w:pPr>
        <w:pStyle w:val="Default"/>
        <w:numPr>
          <w:ilvl w:val="1"/>
          <w:numId w:val="4"/>
        </w:numPr>
        <w:spacing w:after="39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Plans des niveaux </w:t>
      </w:r>
    </w:p>
    <w:p w14:paraId="6B8AEBD6" w14:textId="77777777" w:rsidR="006525E6" w:rsidRPr="006525E6" w:rsidRDefault="006525E6" w:rsidP="00BF2AAA">
      <w:pPr>
        <w:pStyle w:val="Default"/>
        <w:numPr>
          <w:ilvl w:val="1"/>
          <w:numId w:val="4"/>
        </w:numPr>
        <w:spacing w:after="39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Plans et dessins technique de construction </w:t>
      </w:r>
    </w:p>
    <w:p w14:paraId="4B866914" w14:textId="77777777" w:rsidR="006525E6" w:rsidRPr="006525E6" w:rsidRDefault="006525E6" w:rsidP="00BF2AAA">
      <w:pPr>
        <w:pStyle w:val="Default"/>
        <w:numPr>
          <w:ilvl w:val="1"/>
          <w:numId w:val="4"/>
        </w:numPr>
        <w:spacing w:after="39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Plan de câblage électrique </w:t>
      </w:r>
    </w:p>
    <w:p w14:paraId="7E79F350" w14:textId="77777777" w:rsidR="006525E6" w:rsidRPr="006525E6" w:rsidRDefault="006525E6" w:rsidP="00BF2AAA">
      <w:pPr>
        <w:pStyle w:val="Default"/>
        <w:numPr>
          <w:ilvl w:val="1"/>
          <w:numId w:val="4"/>
        </w:numPr>
        <w:spacing w:after="39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Certificat de conformité délivré par le bureau de contrôle technique (Pour les bâtiments déjà construits) </w:t>
      </w:r>
    </w:p>
    <w:p w14:paraId="2778361B" w14:textId="77777777" w:rsidR="006525E6" w:rsidRPr="006525E6" w:rsidRDefault="006525E6" w:rsidP="00BF2AAA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Certificat parasismique </w:t>
      </w:r>
    </w:p>
    <w:p w14:paraId="61A725FB" w14:textId="3486C527" w:rsidR="00CF19EF" w:rsidRPr="006525E6" w:rsidRDefault="00CF19EF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Une apparence viable </w:t>
      </w:r>
      <w:r w:rsidR="00AD4267" w:rsidRPr="006525E6">
        <w:rPr>
          <w:rFonts w:ascii="Arial" w:hAnsi="Arial" w:cs="Arial"/>
          <w:sz w:val="20"/>
          <w:szCs w:val="20"/>
        </w:rPr>
        <w:t>(</w:t>
      </w:r>
      <w:r w:rsidR="00D2057F" w:rsidRPr="006525E6">
        <w:rPr>
          <w:rFonts w:ascii="Arial" w:hAnsi="Arial" w:cs="Arial"/>
          <w:sz w:val="20"/>
          <w:szCs w:val="20"/>
        </w:rPr>
        <w:t xml:space="preserve">de préférence des bâtiments de </w:t>
      </w:r>
      <w:r w:rsidR="00AD4267" w:rsidRPr="006525E6">
        <w:rPr>
          <w:rFonts w:ascii="Arial" w:hAnsi="Arial" w:cs="Arial"/>
          <w:sz w:val="20"/>
          <w:szCs w:val="20"/>
        </w:rPr>
        <w:t xml:space="preserve">moins de 8 ans) </w:t>
      </w:r>
      <w:r w:rsidRPr="006525E6">
        <w:rPr>
          <w:rFonts w:ascii="Arial" w:hAnsi="Arial" w:cs="Arial"/>
          <w:sz w:val="20"/>
          <w:szCs w:val="20"/>
        </w:rPr>
        <w:t>et des bureaux ayant un maximum de confort ;</w:t>
      </w:r>
    </w:p>
    <w:p w14:paraId="646904CB" w14:textId="1BE76CB3" w:rsidR="005E6E18" w:rsidRPr="006525E6" w:rsidRDefault="005E6E18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Une fondation qui obéît aux exigences architecturales (en rapport avec le volume –longueur/largeur/hauteur</w:t>
      </w:r>
      <w:r w:rsidR="00AD4267" w:rsidRPr="006525E6">
        <w:rPr>
          <w:rFonts w:ascii="Arial" w:hAnsi="Arial" w:cs="Arial"/>
          <w:sz w:val="20"/>
          <w:szCs w:val="20"/>
        </w:rPr>
        <w:t xml:space="preserve"> </w:t>
      </w:r>
      <w:r w:rsidRPr="006525E6">
        <w:rPr>
          <w:rFonts w:ascii="Arial" w:hAnsi="Arial" w:cs="Arial"/>
          <w:sz w:val="20"/>
          <w:szCs w:val="20"/>
        </w:rPr>
        <w:t xml:space="preserve">- </w:t>
      </w:r>
      <w:r w:rsidR="00340890" w:rsidRPr="006525E6">
        <w:rPr>
          <w:rFonts w:ascii="Arial" w:hAnsi="Arial" w:cs="Arial"/>
          <w:sz w:val="20"/>
          <w:szCs w:val="20"/>
        </w:rPr>
        <w:t>du bâtiment</w:t>
      </w:r>
      <w:r w:rsidRPr="006525E6">
        <w:rPr>
          <w:rFonts w:ascii="Arial" w:hAnsi="Arial" w:cs="Arial"/>
          <w:sz w:val="20"/>
          <w:szCs w:val="20"/>
        </w:rPr>
        <w:t>)</w:t>
      </w:r>
      <w:r w:rsidR="00AD4267" w:rsidRPr="006525E6">
        <w:rPr>
          <w:rFonts w:ascii="Arial" w:hAnsi="Arial" w:cs="Arial"/>
          <w:sz w:val="20"/>
          <w:szCs w:val="20"/>
        </w:rPr>
        <w:t> ;</w:t>
      </w:r>
    </w:p>
    <w:p w14:paraId="2BE9CE31" w14:textId="77777777" w:rsidR="00AD4267" w:rsidRPr="006525E6" w:rsidRDefault="00AD4267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Un mur de clôture d’une hauteur d’au moins quatre (4) mètres avec barbelés ;</w:t>
      </w:r>
    </w:p>
    <w:p w14:paraId="4397FD99" w14:textId="77777777" w:rsidR="0034418E" w:rsidRPr="006525E6" w:rsidRDefault="00446AF5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Des issues de secours </w:t>
      </w:r>
      <w:r w:rsidR="00CF19EF" w:rsidRPr="006525E6">
        <w:rPr>
          <w:rFonts w:ascii="Arial" w:hAnsi="Arial" w:cs="Arial"/>
          <w:sz w:val="20"/>
          <w:szCs w:val="20"/>
        </w:rPr>
        <w:t xml:space="preserve">(escaliers internes et externes) </w:t>
      </w:r>
      <w:r w:rsidRPr="006525E6">
        <w:rPr>
          <w:rFonts w:ascii="Arial" w:hAnsi="Arial" w:cs="Arial"/>
          <w:sz w:val="20"/>
          <w:szCs w:val="20"/>
        </w:rPr>
        <w:t>en cas d’évacuation d’urgence ;</w:t>
      </w:r>
    </w:p>
    <w:p w14:paraId="38E8C195" w14:textId="1CE083CB" w:rsidR="00EB26AE" w:rsidRPr="006525E6" w:rsidRDefault="00EB26AE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Un système d’alimentation en électricité avec un </w:t>
      </w:r>
      <w:r w:rsidR="00AD4267" w:rsidRPr="006525E6">
        <w:rPr>
          <w:rFonts w:ascii="Arial" w:hAnsi="Arial" w:cs="Arial"/>
          <w:sz w:val="20"/>
          <w:szCs w:val="20"/>
        </w:rPr>
        <w:t>câblage</w:t>
      </w:r>
      <w:r w:rsidRPr="006525E6">
        <w:rPr>
          <w:rFonts w:ascii="Arial" w:hAnsi="Arial" w:cs="Arial"/>
          <w:sz w:val="20"/>
          <w:szCs w:val="20"/>
        </w:rPr>
        <w:t xml:space="preserve"> viable qui garantisse un maximum de sécurité </w:t>
      </w:r>
      <w:r w:rsidR="00AD4267" w:rsidRPr="006525E6">
        <w:rPr>
          <w:rFonts w:ascii="Arial" w:hAnsi="Arial" w:cs="Arial"/>
          <w:sz w:val="20"/>
          <w:szCs w:val="20"/>
        </w:rPr>
        <w:t xml:space="preserve">(prise terre en bon état de fonctionnement) </w:t>
      </w:r>
      <w:r w:rsidRPr="006525E6">
        <w:rPr>
          <w:rFonts w:ascii="Arial" w:hAnsi="Arial" w:cs="Arial"/>
          <w:sz w:val="20"/>
          <w:szCs w:val="20"/>
        </w:rPr>
        <w:t>et un Groupe électrogène d’une capacité d’au moins 500 KVA</w:t>
      </w:r>
      <w:r w:rsidR="00340890" w:rsidRPr="006525E6">
        <w:rPr>
          <w:rFonts w:ascii="Arial" w:hAnsi="Arial" w:cs="Arial"/>
          <w:sz w:val="20"/>
          <w:szCs w:val="20"/>
        </w:rPr>
        <w:t xml:space="preserve"> pour option 1 et 3 groupes électrogènes de la même capacite pour l’option 3</w:t>
      </w:r>
      <w:r w:rsidRPr="006525E6">
        <w:rPr>
          <w:rFonts w:ascii="Arial" w:hAnsi="Arial" w:cs="Arial"/>
          <w:sz w:val="20"/>
          <w:szCs w:val="20"/>
        </w:rPr>
        <w:t xml:space="preserve"> avec mécanisme d’inverseur </w:t>
      </w:r>
      <w:r w:rsidR="00340890" w:rsidRPr="006525E6">
        <w:rPr>
          <w:rFonts w:ascii="Arial" w:hAnsi="Arial" w:cs="Arial"/>
          <w:sz w:val="20"/>
          <w:szCs w:val="20"/>
        </w:rPr>
        <w:t>automatique ;</w:t>
      </w:r>
    </w:p>
    <w:p w14:paraId="5457334A" w14:textId="3D9BC203" w:rsidR="00EB26AE" w:rsidRPr="006525E6" w:rsidRDefault="00EB26AE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Un système d’alimentation en eau courante et </w:t>
      </w:r>
      <w:r w:rsidR="005E6E18" w:rsidRPr="006525E6">
        <w:rPr>
          <w:rFonts w:ascii="Arial" w:hAnsi="Arial" w:cs="Arial"/>
          <w:sz w:val="20"/>
          <w:szCs w:val="20"/>
        </w:rPr>
        <w:t xml:space="preserve">eau </w:t>
      </w:r>
      <w:r w:rsidRPr="006525E6">
        <w:rPr>
          <w:rFonts w:ascii="Arial" w:hAnsi="Arial" w:cs="Arial"/>
          <w:sz w:val="20"/>
          <w:szCs w:val="20"/>
        </w:rPr>
        <w:t xml:space="preserve">chaude avec une réserve (forage) pouvant desservir </w:t>
      </w:r>
      <w:r w:rsidR="00212738" w:rsidRPr="006525E6">
        <w:rPr>
          <w:rFonts w:ascii="Arial" w:hAnsi="Arial" w:cs="Arial"/>
          <w:sz w:val="20"/>
          <w:szCs w:val="20"/>
        </w:rPr>
        <w:t>les employés durant 12</w:t>
      </w:r>
      <w:r w:rsidR="005E6E18" w:rsidRPr="006525E6">
        <w:rPr>
          <w:rFonts w:ascii="Arial" w:hAnsi="Arial" w:cs="Arial"/>
          <w:sz w:val="20"/>
          <w:szCs w:val="20"/>
        </w:rPr>
        <w:t xml:space="preserve"> heures ;</w:t>
      </w:r>
    </w:p>
    <w:p w14:paraId="305786A2" w14:textId="77777777" w:rsidR="00AD4267" w:rsidRPr="006525E6" w:rsidRDefault="005E6E18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Un système viable d’évacuation des eaux usées avec une tuyauterie étanche </w:t>
      </w:r>
      <w:r w:rsidR="00AD4267" w:rsidRPr="006525E6">
        <w:rPr>
          <w:rFonts w:ascii="Arial" w:hAnsi="Arial" w:cs="Arial"/>
          <w:sz w:val="20"/>
          <w:szCs w:val="20"/>
        </w:rPr>
        <w:t xml:space="preserve">(encastrée ou en apparence) </w:t>
      </w:r>
      <w:r w:rsidRPr="006525E6">
        <w:rPr>
          <w:rFonts w:ascii="Arial" w:hAnsi="Arial" w:cs="Arial"/>
          <w:sz w:val="20"/>
          <w:szCs w:val="20"/>
        </w:rPr>
        <w:t>qui garantisse l’absence de fuite d’eau usées</w:t>
      </w:r>
      <w:r w:rsidR="00D2057F" w:rsidRPr="006525E6">
        <w:rPr>
          <w:rFonts w:ascii="Arial" w:hAnsi="Arial" w:cs="Arial"/>
          <w:sz w:val="20"/>
          <w:szCs w:val="20"/>
        </w:rPr>
        <w:t> ;</w:t>
      </w:r>
    </w:p>
    <w:p w14:paraId="28D4CC25" w14:textId="77777777" w:rsidR="005E6E18" w:rsidRPr="006525E6" w:rsidRDefault="00AD4267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Un système de climatisation en bon état de fonctionnement avec des appareils ayant moins de deux (2) ans de fonctionnement</w:t>
      </w:r>
      <w:r w:rsidR="00D2057F" w:rsidRPr="006525E6">
        <w:rPr>
          <w:rFonts w:ascii="Arial" w:hAnsi="Arial" w:cs="Arial"/>
          <w:sz w:val="20"/>
          <w:szCs w:val="20"/>
        </w:rPr>
        <w:t> ;</w:t>
      </w:r>
    </w:p>
    <w:p w14:paraId="07387291" w14:textId="5952ED8D" w:rsidR="00D2057F" w:rsidRPr="006525E6" w:rsidRDefault="00D2057F" w:rsidP="00BF2A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Des ascenseurs en bon état de fonctionnement</w:t>
      </w:r>
      <w:r w:rsidR="00362590" w:rsidRPr="006525E6">
        <w:rPr>
          <w:rFonts w:ascii="Arial" w:hAnsi="Arial" w:cs="Arial"/>
          <w:sz w:val="20"/>
          <w:szCs w:val="20"/>
        </w:rPr>
        <w:t xml:space="preserve"> et des escaliers de secours. </w:t>
      </w:r>
    </w:p>
    <w:p w14:paraId="5D9C10E0" w14:textId="494F0060" w:rsidR="00362590" w:rsidRPr="006525E6" w:rsidRDefault="00362590" w:rsidP="00BF2AAA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Une description de l’accessibilité des personnes vivants avec handicap est à soumettre également. </w:t>
      </w:r>
    </w:p>
    <w:p w14:paraId="1B8FE62A" w14:textId="77777777" w:rsidR="00D2057F" w:rsidRPr="006525E6" w:rsidRDefault="00D2057F" w:rsidP="00BF2AAA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7A7DA9A7" w14:textId="77777777" w:rsidR="005B07A8" w:rsidRPr="006525E6" w:rsidRDefault="00CF19EF" w:rsidP="00BF2AAA">
      <w:pPr>
        <w:spacing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 xml:space="preserve">IV.2. </w:t>
      </w:r>
      <w:r w:rsidR="005B07A8" w:rsidRPr="006525E6">
        <w:rPr>
          <w:rFonts w:ascii="Arial" w:hAnsi="Arial" w:cs="Arial"/>
          <w:b/>
          <w:sz w:val="20"/>
          <w:szCs w:val="20"/>
        </w:rPr>
        <w:t>Disposition Administratives </w:t>
      </w:r>
    </w:p>
    <w:p w14:paraId="41E2680D" w14:textId="77777777" w:rsidR="005B07A8" w:rsidRPr="006525E6" w:rsidRDefault="00D2057F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Le </w:t>
      </w:r>
      <w:r w:rsidR="00D40A07" w:rsidRPr="006525E6">
        <w:rPr>
          <w:rFonts w:ascii="Arial" w:hAnsi="Arial" w:cs="Arial"/>
          <w:sz w:val="20"/>
          <w:szCs w:val="20"/>
        </w:rPr>
        <w:t>SNU s’assurera que le bailleur qui est propriétaire des bâtiments à louer remplit les conditions légales d’a</w:t>
      </w:r>
      <w:r w:rsidR="005B07A8" w:rsidRPr="006525E6">
        <w:rPr>
          <w:rFonts w:ascii="Arial" w:hAnsi="Arial" w:cs="Arial"/>
          <w:sz w:val="20"/>
          <w:szCs w:val="20"/>
        </w:rPr>
        <w:t>cquisition foncière</w:t>
      </w:r>
      <w:r w:rsidR="00D40A07" w:rsidRPr="006525E6">
        <w:rPr>
          <w:rFonts w:ascii="Arial" w:hAnsi="Arial" w:cs="Arial"/>
          <w:sz w:val="20"/>
          <w:szCs w:val="20"/>
        </w:rPr>
        <w:t xml:space="preserve"> et que les</w:t>
      </w:r>
      <w:r w:rsidR="005B07A8" w:rsidRPr="006525E6">
        <w:rPr>
          <w:rFonts w:ascii="Arial" w:hAnsi="Arial" w:cs="Arial"/>
          <w:sz w:val="20"/>
          <w:szCs w:val="20"/>
        </w:rPr>
        <w:t xml:space="preserve"> autorisation</w:t>
      </w:r>
      <w:r w:rsidR="00D40A07" w:rsidRPr="006525E6">
        <w:rPr>
          <w:rFonts w:ascii="Arial" w:hAnsi="Arial" w:cs="Arial"/>
          <w:sz w:val="20"/>
          <w:szCs w:val="20"/>
        </w:rPr>
        <w:t>s</w:t>
      </w:r>
      <w:r w:rsidR="005B07A8" w:rsidRPr="006525E6">
        <w:rPr>
          <w:rFonts w:ascii="Arial" w:hAnsi="Arial" w:cs="Arial"/>
          <w:sz w:val="20"/>
          <w:szCs w:val="20"/>
        </w:rPr>
        <w:t xml:space="preserve"> de construire</w:t>
      </w:r>
      <w:r w:rsidR="00D40A07" w:rsidRPr="006525E6">
        <w:rPr>
          <w:rFonts w:ascii="Arial" w:hAnsi="Arial" w:cs="Arial"/>
          <w:sz w:val="20"/>
          <w:szCs w:val="20"/>
        </w:rPr>
        <w:t xml:space="preserve"> sont disponibles</w:t>
      </w:r>
      <w:r w:rsidR="005B07A8" w:rsidRPr="006525E6">
        <w:rPr>
          <w:rFonts w:ascii="Arial" w:hAnsi="Arial" w:cs="Arial"/>
          <w:sz w:val="20"/>
          <w:szCs w:val="20"/>
        </w:rPr>
        <w:t>,</w:t>
      </w:r>
      <w:r w:rsidR="00D40A07" w:rsidRPr="006525E6">
        <w:rPr>
          <w:rFonts w:ascii="Arial" w:hAnsi="Arial" w:cs="Arial"/>
          <w:sz w:val="20"/>
          <w:szCs w:val="20"/>
        </w:rPr>
        <w:t xml:space="preserve"> y compris les</w:t>
      </w:r>
      <w:r w:rsidR="005B07A8" w:rsidRPr="006525E6">
        <w:rPr>
          <w:rFonts w:ascii="Arial" w:hAnsi="Arial" w:cs="Arial"/>
          <w:sz w:val="20"/>
          <w:szCs w:val="20"/>
        </w:rPr>
        <w:t xml:space="preserve"> plan</w:t>
      </w:r>
      <w:r w:rsidR="00D40A07" w:rsidRPr="006525E6">
        <w:rPr>
          <w:rFonts w:ascii="Arial" w:hAnsi="Arial" w:cs="Arial"/>
          <w:sz w:val="20"/>
          <w:szCs w:val="20"/>
        </w:rPr>
        <w:t>s</w:t>
      </w:r>
      <w:r w:rsidR="005B07A8" w:rsidRPr="006525E6">
        <w:rPr>
          <w:rFonts w:ascii="Arial" w:hAnsi="Arial" w:cs="Arial"/>
          <w:sz w:val="20"/>
          <w:szCs w:val="20"/>
        </w:rPr>
        <w:t xml:space="preserve"> de masse</w:t>
      </w:r>
      <w:r w:rsidR="00D40A07" w:rsidRPr="006525E6">
        <w:rPr>
          <w:rFonts w:ascii="Arial" w:hAnsi="Arial" w:cs="Arial"/>
          <w:sz w:val="20"/>
          <w:szCs w:val="20"/>
        </w:rPr>
        <w:t xml:space="preserve"> et de construction, les</w:t>
      </w:r>
      <w:r w:rsidR="005B07A8" w:rsidRPr="006525E6">
        <w:rPr>
          <w:rFonts w:ascii="Arial" w:hAnsi="Arial" w:cs="Arial"/>
          <w:sz w:val="20"/>
          <w:szCs w:val="20"/>
        </w:rPr>
        <w:t xml:space="preserve"> schéma</w:t>
      </w:r>
      <w:r w:rsidR="00D40A07" w:rsidRPr="006525E6">
        <w:rPr>
          <w:rFonts w:ascii="Arial" w:hAnsi="Arial" w:cs="Arial"/>
          <w:sz w:val="20"/>
          <w:szCs w:val="20"/>
        </w:rPr>
        <w:t>s</w:t>
      </w:r>
      <w:r w:rsidR="005B07A8" w:rsidRPr="006525E6">
        <w:rPr>
          <w:rFonts w:ascii="Arial" w:hAnsi="Arial" w:cs="Arial"/>
          <w:sz w:val="20"/>
          <w:szCs w:val="20"/>
        </w:rPr>
        <w:t xml:space="preserve"> technique</w:t>
      </w:r>
      <w:r w:rsidR="00D40A07" w:rsidRPr="006525E6">
        <w:rPr>
          <w:rFonts w:ascii="Arial" w:hAnsi="Arial" w:cs="Arial"/>
          <w:sz w:val="20"/>
          <w:szCs w:val="20"/>
        </w:rPr>
        <w:t>s</w:t>
      </w:r>
      <w:r w:rsidR="005B07A8" w:rsidRPr="006525E6">
        <w:rPr>
          <w:rFonts w:ascii="Arial" w:hAnsi="Arial" w:cs="Arial"/>
          <w:sz w:val="20"/>
          <w:szCs w:val="20"/>
        </w:rPr>
        <w:t xml:space="preserve"> de </w:t>
      </w:r>
      <w:r w:rsidR="005E364C" w:rsidRPr="006525E6">
        <w:rPr>
          <w:rFonts w:ascii="Arial" w:hAnsi="Arial" w:cs="Arial"/>
          <w:sz w:val="20"/>
          <w:szCs w:val="20"/>
        </w:rPr>
        <w:t>câblage</w:t>
      </w:r>
      <w:r w:rsidR="005B07A8" w:rsidRPr="006525E6">
        <w:rPr>
          <w:rFonts w:ascii="Arial" w:hAnsi="Arial" w:cs="Arial"/>
          <w:sz w:val="20"/>
          <w:szCs w:val="20"/>
        </w:rPr>
        <w:t xml:space="preserve"> électrique, d’alimentation en eaux, d’évacuation des eaux</w:t>
      </w:r>
      <w:r w:rsidR="00D40A07" w:rsidRPr="006525E6">
        <w:rPr>
          <w:rFonts w:ascii="Arial" w:hAnsi="Arial" w:cs="Arial"/>
          <w:sz w:val="20"/>
          <w:szCs w:val="20"/>
        </w:rPr>
        <w:t xml:space="preserve"> usées</w:t>
      </w:r>
      <w:r w:rsidR="005B07A8" w:rsidRPr="006525E6">
        <w:rPr>
          <w:rFonts w:ascii="Arial" w:hAnsi="Arial" w:cs="Arial"/>
          <w:sz w:val="20"/>
          <w:szCs w:val="20"/>
        </w:rPr>
        <w:t xml:space="preserve">, de </w:t>
      </w:r>
      <w:r w:rsidR="005E364C" w:rsidRPr="006525E6">
        <w:rPr>
          <w:rFonts w:ascii="Arial" w:hAnsi="Arial" w:cs="Arial"/>
          <w:sz w:val="20"/>
          <w:szCs w:val="20"/>
        </w:rPr>
        <w:t>câblage</w:t>
      </w:r>
      <w:r w:rsidR="005B07A8" w:rsidRPr="006525E6">
        <w:rPr>
          <w:rFonts w:ascii="Arial" w:hAnsi="Arial" w:cs="Arial"/>
          <w:sz w:val="20"/>
          <w:szCs w:val="20"/>
        </w:rPr>
        <w:t xml:space="preserve"> </w:t>
      </w:r>
      <w:r w:rsidR="00D40A07" w:rsidRPr="006525E6">
        <w:rPr>
          <w:rFonts w:ascii="Arial" w:hAnsi="Arial" w:cs="Arial"/>
          <w:sz w:val="20"/>
          <w:szCs w:val="20"/>
        </w:rPr>
        <w:t xml:space="preserve">internet, les </w:t>
      </w:r>
      <w:r w:rsidR="005B07A8" w:rsidRPr="006525E6">
        <w:rPr>
          <w:rFonts w:ascii="Arial" w:hAnsi="Arial" w:cs="Arial"/>
          <w:sz w:val="20"/>
          <w:szCs w:val="20"/>
        </w:rPr>
        <w:t>rapport</w:t>
      </w:r>
      <w:r w:rsidR="00D40A07" w:rsidRPr="006525E6">
        <w:rPr>
          <w:rFonts w:ascii="Arial" w:hAnsi="Arial" w:cs="Arial"/>
          <w:sz w:val="20"/>
          <w:szCs w:val="20"/>
        </w:rPr>
        <w:t>s de sondage de sol, etc.</w:t>
      </w:r>
    </w:p>
    <w:p w14:paraId="25BE8248" w14:textId="77777777" w:rsidR="005E364C" w:rsidRPr="006525E6" w:rsidRDefault="00D40A07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lastRenderedPageBreak/>
        <w:t xml:space="preserve">Le SNU </w:t>
      </w:r>
      <w:r w:rsidR="004421E9" w:rsidRPr="006525E6">
        <w:rPr>
          <w:rFonts w:ascii="Arial" w:hAnsi="Arial" w:cs="Arial"/>
          <w:sz w:val="20"/>
          <w:szCs w:val="20"/>
        </w:rPr>
        <w:t>s’assurera que le bailleur (</w:t>
      </w:r>
      <w:r w:rsidR="005E364C" w:rsidRPr="006525E6">
        <w:rPr>
          <w:rFonts w:ascii="Arial" w:hAnsi="Arial" w:cs="Arial"/>
          <w:sz w:val="20"/>
          <w:szCs w:val="20"/>
        </w:rPr>
        <w:t>agent immobilier ou une société immobilière</w:t>
      </w:r>
      <w:r w:rsidR="004421E9" w:rsidRPr="006525E6">
        <w:rPr>
          <w:rFonts w:ascii="Arial" w:hAnsi="Arial" w:cs="Arial"/>
          <w:sz w:val="20"/>
          <w:szCs w:val="20"/>
        </w:rPr>
        <w:t xml:space="preserve">) dispose de </w:t>
      </w:r>
      <w:r w:rsidR="005E364C" w:rsidRPr="006525E6">
        <w:rPr>
          <w:rFonts w:ascii="Arial" w:hAnsi="Arial" w:cs="Arial"/>
          <w:sz w:val="20"/>
          <w:szCs w:val="20"/>
        </w:rPr>
        <w:t>toutes les autorisations nécessaires</w:t>
      </w:r>
      <w:r w:rsidR="004421E9" w:rsidRPr="006525E6">
        <w:rPr>
          <w:rFonts w:ascii="Arial" w:hAnsi="Arial" w:cs="Arial"/>
          <w:sz w:val="20"/>
          <w:szCs w:val="20"/>
        </w:rPr>
        <w:t xml:space="preserve"> qui relève de la corporation et remplit les exigences fiscales (domaines et timbres) et possède une assurance contre les incendies, dégât des eaux, catastrophes naturelles, etc.</w:t>
      </w:r>
    </w:p>
    <w:p w14:paraId="1898C98B" w14:textId="77777777" w:rsidR="005C203B" w:rsidRPr="006525E6" w:rsidRDefault="004421E9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Le SNU s’assurera que le bailleur dispose </w:t>
      </w:r>
      <w:r w:rsidR="005C203B" w:rsidRPr="006525E6">
        <w:rPr>
          <w:rFonts w:ascii="Arial" w:hAnsi="Arial" w:cs="Arial"/>
          <w:sz w:val="20"/>
          <w:szCs w:val="20"/>
        </w:rPr>
        <w:t>librement de son bien sans aucun obstacle social (</w:t>
      </w:r>
      <w:r w:rsidR="009D7597" w:rsidRPr="006525E6">
        <w:rPr>
          <w:rFonts w:ascii="Arial" w:hAnsi="Arial" w:cs="Arial"/>
          <w:sz w:val="20"/>
          <w:szCs w:val="20"/>
        </w:rPr>
        <w:t xml:space="preserve">conflit de succession) ni </w:t>
      </w:r>
      <w:r w:rsidR="005C203B" w:rsidRPr="006525E6">
        <w:rPr>
          <w:rFonts w:ascii="Arial" w:hAnsi="Arial" w:cs="Arial"/>
          <w:sz w:val="20"/>
          <w:szCs w:val="20"/>
        </w:rPr>
        <w:t xml:space="preserve">administratif (expropriation dûment notifiée, retour aux domaines, </w:t>
      </w:r>
      <w:r w:rsidR="009D7597" w:rsidRPr="006525E6">
        <w:rPr>
          <w:rFonts w:ascii="Arial" w:hAnsi="Arial" w:cs="Arial"/>
          <w:sz w:val="20"/>
          <w:szCs w:val="20"/>
        </w:rPr>
        <w:t xml:space="preserve">hypothèque, </w:t>
      </w:r>
      <w:r w:rsidRPr="006525E6">
        <w:rPr>
          <w:rFonts w:ascii="Arial" w:hAnsi="Arial" w:cs="Arial"/>
          <w:sz w:val="20"/>
          <w:szCs w:val="20"/>
        </w:rPr>
        <w:t>etc.).</w:t>
      </w:r>
    </w:p>
    <w:p w14:paraId="2764423A" w14:textId="77777777" w:rsidR="002C4BD6" w:rsidRPr="006525E6" w:rsidRDefault="00CF19EF" w:rsidP="00BF2AAA">
      <w:pPr>
        <w:spacing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6525E6">
        <w:rPr>
          <w:rFonts w:ascii="Arial" w:hAnsi="Arial" w:cs="Arial"/>
          <w:b/>
          <w:sz w:val="20"/>
          <w:szCs w:val="20"/>
        </w:rPr>
        <w:t xml:space="preserve">IV.3. </w:t>
      </w:r>
      <w:r w:rsidR="000C79A4" w:rsidRPr="006525E6">
        <w:rPr>
          <w:rFonts w:ascii="Arial" w:hAnsi="Arial" w:cs="Arial"/>
          <w:b/>
          <w:sz w:val="20"/>
          <w:szCs w:val="20"/>
        </w:rPr>
        <w:t>Autres d</w:t>
      </w:r>
      <w:r w:rsidR="002C4BD6" w:rsidRPr="006525E6">
        <w:rPr>
          <w:rFonts w:ascii="Arial" w:hAnsi="Arial" w:cs="Arial"/>
          <w:b/>
          <w:sz w:val="20"/>
          <w:szCs w:val="20"/>
        </w:rPr>
        <w:t>ispositions contractuelles</w:t>
      </w:r>
    </w:p>
    <w:p w14:paraId="4C4D7925" w14:textId="77777777" w:rsidR="002C4BD6" w:rsidRPr="006525E6" w:rsidRDefault="004421E9" w:rsidP="00BF2AA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>Le SNU pourra, conformément à ses exigences sécuritaires, négociera avec le bailleur, des c</w:t>
      </w:r>
      <w:r w:rsidR="002C4BD6" w:rsidRPr="006525E6">
        <w:rPr>
          <w:rFonts w:ascii="Arial" w:hAnsi="Arial" w:cs="Arial"/>
          <w:sz w:val="20"/>
          <w:szCs w:val="20"/>
        </w:rPr>
        <w:t>lauses spéciales</w:t>
      </w:r>
      <w:r w:rsidRPr="006525E6">
        <w:rPr>
          <w:rFonts w:ascii="Arial" w:hAnsi="Arial" w:cs="Arial"/>
          <w:sz w:val="20"/>
          <w:szCs w:val="20"/>
        </w:rPr>
        <w:t xml:space="preserve"> qui seront incluses </w:t>
      </w:r>
      <w:r w:rsidR="002C4BD6" w:rsidRPr="006525E6">
        <w:rPr>
          <w:rFonts w:ascii="Arial" w:hAnsi="Arial" w:cs="Arial"/>
          <w:sz w:val="20"/>
          <w:szCs w:val="20"/>
        </w:rPr>
        <w:t>dans le contrat. Elles seront constituées des compromis qui seront retenues à l’issue d’une entente entre le SNU et le bailleur. Il s’agit notamment, des modalités d’</w:t>
      </w:r>
      <w:r w:rsidR="00DD2F44" w:rsidRPr="006525E6">
        <w:rPr>
          <w:rFonts w:ascii="Arial" w:hAnsi="Arial" w:cs="Arial"/>
          <w:sz w:val="20"/>
          <w:szCs w:val="20"/>
        </w:rPr>
        <w:t>amortissement</w:t>
      </w:r>
      <w:r w:rsidR="002C4BD6" w:rsidRPr="006525E6">
        <w:rPr>
          <w:rFonts w:ascii="Arial" w:hAnsi="Arial" w:cs="Arial"/>
          <w:sz w:val="20"/>
          <w:szCs w:val="20"/>
        </w:rPr>
        <w:t xml:space="preserve"> des travaux qui auront un caractère fixe</w:t>
      </w:r>
      <w:r w:rsidR="00DD2F44" w:rsidRPr="006525E6">
        <w:rPr>
          <w:rFonts w:ascii="Arial" w:hAnsi="Arial" w:cs="Arial"/>
          <w:sz w:val="20"/>
          <w:szCs w:val="20"/>
        </w:rPr>
        <w:t>, convenu d’avance entre les deux parties,</w:t>
      </w:r>
      <w:r w:rsidR="002C4BD6" w:rsidRPr="006525E6">
        <w:rPr>
          <w:rFonts w:ascii="Arial" w:hAnsi="Arial" w:cs="Arial"/>
          <w:sz w:val="20"/>
          <w:szCs w:val="20"/>
        </w:rPr>
        <w:t xml:space="preserve"> </w:t>
      </w:r>
      <w:r w:rsidR="00DD2F44" w:rsidRPr="006525E6">
        <w:rPr>
          <w:rFonts w:ascii="Arial" w:hAnsi="Arial" w:cs="Arial"/>
          <w:sz w:val="20"/>
          <w:szCs w:val="20"/>
        </w:rPr>
        <w:t xml:space="preserve">financés par le SNU et qui resteront au bénéfice du bailleur après jouissance. Ces </w:t>
      </w:r>
      <w:r w:rsidR="00653C89" w:rsidRPr="006525E6">
        <w:rPr>
          <w:rFonts w:ascii="Arial" w:hAnsi="Arial" w:cs="Arial"/>
          <w:sz w:val="20"/>
          <w:szCs w:val="20"/>
        </w:rPr>
        <w:t>investissements</w:t>
      </w:r>
      <w:r w:rsidR="00DD2F44" w:rsidRPr="006525E6">
        <w:rPr>
          <w:rFonts w:ascii="Arial" w:hAnsi="Arial" w:cs="Arial"/>
          <w:sz w:val="20"/>
          <w:szCs w:val="20"/>
        </w:rPr>
        <w:t xml:space="preserve"> seront principalement ceux liés à la sécurité du bâtiment (renforcement de l’éclairage, installation d’un espace de sécurité entre le </w:t>
      </w:r>
      <w:r w:rsidR="005B07A8" w:rsidRPr="006525E6">
        <w:rPr>
          <w:rFonts w:ascii="Arial" w:hAnsi="Arial" w:cs="Arial"/>
          <w:sz w:val="20"/>
          <w:szCs w:val="20"/>
        </w:rPr>
        <w:t>bâtiment</w:t>
      </w:r>
      <w:r w:rsidR="00DD2F44" w:rsidRPr="006525E6">
        <w:rPr>
          <w:rFonts w:ascii="Arial" w:hAnsi="Arial" w:cs="Arial"/>
          <w:sz w:val="20"/>
          <w:szCs w:val="20"/>
        </w:rPr>
        <w:t xml:space="preserve"> et les voies qui abordent </w:t>
      </w:r>
      <w:r w:rsidR="00511178" w:rsidRPr="006525E6">
        <w:rPr>
          <w:rFonts w:ascii="Arial" w:hAnsi="Arial" w:cs="Arial"/>
          <w:sz w:val="20"/>
          <w:szCs w:val="20"/>
        </w:rPr>
        <w:t xml:space="preserve">les </w:t>
      </w:r>
      <w:r w:rsidR="005B07A8" w:rsidRPr="006525E6">
        <w:rPr>
          <w:rFonts w:ascii="Arial" w:hAnsi="Arial" w:cs="Arial"/>
          <w:sz w:val="20"/>
          <w:szCs w:val="20"/>
        </w:rPr>
        <w:t>bâtiments</w:t>
      </w:r>
      <w:r w:rsidR="00511178" w:rsidRPr="006525E6">
        <w:rPr>
          <w:rFonts w:ascii="Arial" w:hAnsi="Arial" w:cs="Arial"/>
          <w:sz w:val="20"/>
          <w:szCs w:val="20"/>
        </w:rPr>
        <w:t xml:space="preserve">, </w:t>
      </w:r>
      <w:r w:rsidR="007D5BE5" w:rsidRPr="006525E6">
        <w:rPr>
          <w:rFonts w:ascii="Arial" w:hAnsi="Arial" w:cs="Arial"/>
          <w:sz w:val="20"/>
          <w:szCs w:val="20"/>
        </w:rPr>
        <w:t>construction d’un</w:t>
      </w:r>
      <w:r w:rsidR="007458A0" w:rsidRPr="006525E6">
        <w:rPr>
          <w:rFonts w:ascii="Arial" w:hAnsi="Arial" w:cs="Arial"/>
          <w:sz w:val="20"/>
          <w:szCs w:val="20"/>
        </w:rPr>
        <w:t xml:space="preserve"> poste/loge d</w:t>
      </w:r>
      <w:r w:rsidR="007D5BE5" w:rsidRPr="006525E6">
        <w:rPr>
          <w:rFonts w:ascii="Arial" w:hAnsi="Arial" w:cs="Arial"/>
          <w:sz w:val="20"/>
          <w:szCs w:val="20"/>
        </w:rPr>
        <w:t xml:space="preserve">e </w:t>
      </w:r>
      <w:r w:rsidR="007458A0" w:rsidRPr="006525E6">
        <w:rPr>
          <w:rFonts w:ascii="Arial" w:hAnsi="Arial" w:cs="Arial"/>
          <w:sz w:val="20"/>
          <w:szCs w:val="20"/>
        </w:rPr>
        <w:t xml:space="preserve">sécurité et d’une </w:t>
      </w:r>
      <w:proofErr w:type="spellStart"/>
      <w:r w:rsidR="007458A0" w:rsidRPr="006525E6">
        <w:rPr>
          <w:rFonts w:ascii="Arial" w:hAnsi="Arial" w:cs="Arial"/>
          <w:sz w:val="20"/>
          <w:szCs w:val="20"/>
        </w:rPr>
        <w:t>registry</w:t>
      </w:r>
      <w:proofErr w:type="spellEnd"/>
      <w:r w:rsidR="007458A0" w:rsidRPr="006525E6">
        <w:rPr>
          <w:rFonts w:ascii="Arial" w:hAnsi="Arial" w:cs="Arial"/>
          <w:sz w:val="20"/>
          <w:szCs w:val="20"/>
        </w:rPr>
        <w:t xml:space="preserve">, construction d’un sas d’inspection de véhicules à l’entrée automobile, </w:t>
      </w:r>
      <w:r w:rsidR="00511178" w:rsidRPr="006525E6">
        <w:rPr>
          <w:rFonts w:ascii="Arial" w:hAnsi="Arial" w:cs="Arial"/>
          <w:sz w:val="20"/>
          <w:szCs w:val="20"/>
        </w:rPr>
        <w:t xml:space="preserve">renforcement des portes d’entrées, </w:t>
      </w:r>
      <w:r w:rsidR="0041206B" w:rsidRPr="006525E6">
        <w:rPr>
          <w:rFonts w:ascii="Arial" w:hAnsi="Arial" w:cs="Arial"/>
          <w:sz w:val="20"/>
          <w:szCs w:val="20"/>
        </w:rPr>
        <w:t xml:space="preserve">installation d’un système de vidéo-surveillance, </w:t>
      </w:r>
      <w:r w:rsidR="00511178" w:rsidRPr="006525E6">
        <w:rPr>
          <w:rFonts w:ascii="Arial" w:hAnsi="Arial" w:cs="Arial"/>
          <w:sz w:val="20"/>
          <w:szCs w:val="20"/>
        </w:rPr>
        <w:t>etc.)</w:t>
      </w:r>
      <w:r w:rsidR="00DD2F44" w:rsidRPr="006525E6">
        <w:rPr>
          <w:rFonts w:ascii="Arial" w:hAnsi="Arial" w:cs="Arial"/>
          <w:sz w:val="20"/>
          <w:szCs w:val="20"/>
        </w:rPr>
        <w:t xml:space="preserve">. </w:t>
      </w:r>
    </w:p>
    <w:p w14:paraId="532D649F" w14:textId="77777777" w:rsidR="00D2057F" w:rsidRPr="006525E6" w:rsidRDefault="004421E9" w:rsidP="00BF2AA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525E6">
        <w:rPr>
          <w:rFonts w:ascii="Arial" w:hAnsi="Arial" w:cs="Arial"/>
          <w:sz w:val="20"/>
          <w:szCs w:val="20"/>
        </w:rPr>
        <w:t xml:space="preserve">En sus, </w:t>
      </w:r>
      <w:r w:rsidR="00653C89" w:rsidRPr="006525E6">
        <w:rPr>
          <w:rFonts w:ascii="Arial" w:hAnsi="Arial" w:cs="Arial"/>
          <w:sz w:val="20"/>
          <w:szCs w:val="20"/>
        </w:rPr>
        <w:t xml:space="preserve">des clauses sur </w:t>
      </w:r>
      <w:r w:rsidRPr="006525E6">
        <w:rPr>
          <w:rFonts w:ascii="Arial" w:hAnsi="Arial" w:cs="Arial"/>
          <w:sz w:val="20"/>
          <w:szCs w:val="20"/>
        </w:rPr>
        <w:t>l</w:t>
      </w:r>
      <w:r w:rsidR="00D2057F" w:rsidRPr="006525E6">
        <w:rPr>
          <w:rFonts w:ascii="Arial" w:hAnsi="Arial" w:cs="Arial"/>
          <w:sz w:val="20"/>
          <w:szCs w:val="20"/>
        </w:rPr>
        <w:t xml:space="preserve">es services suivants, sous la responsabilité du bailleur </w:t>
      </w:r>
      <w:r w:rsidR="00653C89" w:rsidRPr="006525E6">
        <w:rPr>
          <w:rFonts w:ascii="Arial" w:hAnsi="Arial" w:cs="Arial"/>
          <w:sz w:val="20"/>
          <w:szCs w:val="20"/>
        </w:rPr>
        <w:t>seront</w:t>
      </w:r>
      <w:r w:rsidR="00D2057F" w:rsidRPr="006525E6">
        <w:rPr>
          <w:rFonts w:ascii="Arial" w:hAnsi="Arial" w:cs="Arial"/>
          <w:sz w:val="20"/>
          <w:szCs w:val="20"/>
        </w:rPr>
        <w:t xml:space="preserve"> </w:t>
      </w:r>
      <w:r w:rsidR="00653C89" w:rsidRPr="006525E6">
        <w:rPr>
          <w:rFonts w:ascii="Arial" w:hAnsi="Arial" w:cs="Arial"/>
          <w:sz w:val="20"/>
          <w:szCs w:val="20"/>
        </w:rPr>
        <w:t>incluses</w:t>
      </w:r>
      <w:r w:rsidR="00D2057F" w:rsidRPr="006525E6">
        <w:rPr>
          <w:rFonts w:ascii="Arial" w:hAnsi="Arial" w:cs="Arial"/>
          <w:sz w:val="20"/>
          <w:szCs w:val="20"/>
        </w:rPr>
        <w:t xml:space="preserve"> dans le contrat de bail. Il s’agit des services d’entretien électrique, y compris le générateur, des ascenseurs, de la plomberie et des climatiseurs.</w:t>
      </w:r>
    </w:p>
    <w:p w14:paraId="0F79FBFC" w14:textId="77777777" w:rsidR="00653C89" w:rsidRPr="006525E6" w:rsidRDefault="00653C89" w:rsidP="00BF2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53C89" w:rsidRPr="006525E6" w:rsidSect="00AD7D08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4F3A" w14:textId="77777777" w:rsidR="00232E3F" w:rsidRDefault="00232E3F" w:rsidP="00F418E6">
      <w:pPr>
        <w:spacing w:after="0" w:line="240" w:lineRule="auto"/>
      </w:pPr>
      <w:r>
        <w:separator/>
      </w:r>
    </w:p>
  </w:endnote>
  <w:endnote w:type="continuationSeparator" w:id="0">
    <w:p w14:paraId="42826E0E" w14:textId="77777777" w:rsidR="00232E3F" w:rsidRDefault="00232E3F" w:rsidP="00F4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293701"/>
      <w:docPartObj>
        <w:docPartGallery w:val="Page Numbers (Bottom of Page)"/>
        <w:docPartUnique/>
      </w:docPartObj>
    </w:sdtPr>
    <w:sdtEndPr/>
    <w:sdtContent>
      <w:p w14:paraId="41CAED9E" w14:textId="77777777" w:rsidR="0045235E" w:rsidRDefault="004523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08">
          <w:rPr>
            <w:noProof/>
          </w:rPr>
          <w:t>6</w:t>
        </w:r>
        <w:r>
          <w:fldChar w:fldCharType="end"/>
        </w:r>
      </w:p>
    </w:sdtContent>
  </w:sdt>
  <w:p w14:paraId="210AA69C" w14:textId="77777777" w:rsidR="0045235E" w:rsidRDefault="004523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F939" w14:textId="77777777" w:rsidR="00232E3F" w:rsidRDefault="00232E3F" w:rsidP="00F418E6">
      <w:pPr>
        <w:spacing w:after="0" w:line="240" w:lineRule="auto"/>
      </w:pPr>
      <w:r>
        <w:separator/>
      </w:r>
    </w:p>
  </w:footnote>
  <w:footnote w:type="continuationSeparator" w:id="0">
    <w:p w14:paraId="0C016AA5" w14:textId="77777777" w:rsidR="00232E3F" w:rsidRDefault="00232E3F" w:rsidP="00F4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5BEB"/>
    <w:multiLevelType w:val="hybridMultilevel"/>
    <w:tmpl w:val="5120CE9C"/>
    <w:lvl w:ilvl="0" w:tplc="30882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2EB"/>
    <w:multiLevelType w:val="hybridMultilevel"/>
    <w:tmpl w:val="46940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70EE"/>
    <w:multiLevelType w:val="hybridMultilevel"/>
    <w:tmpl w:val="38F2E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6415"/>
    <w:multiLevelType w:val="hybridMultilevel"/>
    <w:tmpl w:val="477E3072"/>
    <w:lvl w:ilvl="0" w:tplc="7D72F262">
      <w:start w:val="78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827"/>
    <w:multiLevelType w:val="hybridMultilevel"/>
    <w:tmpl w:val="690EDE9A"/>
    <w:lvl w:ilvl="0" w:tplc="4B9A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A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97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80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04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AC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1A25E6"/>
    <w:multiLevelType w:val="hybridMultilevel"/>
    <w:tmpl w:val="5D8406C6"/>
    <w:lvl w:ilvl="0" w:tplc="485A1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008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0A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C6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01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830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B7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C29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A9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0847"/>
    <w:multiLevelType w:val="hybridMultilevel"/>
    <w:tmpl w:val="95125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50BD"/>
    <w:multiLevelType w:val="hybridMultilevel"/>
    <w:tmpl w:val="DA4AD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D7"/>
    <w:rsid w:val="000C340D"/>
    <w:rsid w:val="000C79A4"/>
    <w:rsid w:val="0016172E"/>
    <w:rsid w:val="00181BB1"/>
    <w:rsid w:val="0018451B"/>
    <w:rsid w:val="001A78B0"/>
    <w:rsid w:val="001E2233"/>
    <w:rsid w:val="00201566"/>
    <w:rsid w:val="002107A9"/>
    <w:rsid w:val="00212738"/>
    <w:rsid w:val="00232E3F"/>
    <w:rsid w:val="002A3BD7"/>
    <w:rsid w:val="002C35AF"/>
    <w:rsid w:val="002C4BD6"/>
    <w:rsid w:val="00340890"/>
    <w:rsid w:val="003411B7"/>
    <w:rsid w:val="0034418E"/>
    <w:rsid w:val="00362590"/>
    <w:rsid w:val="003C7FE8"/>
    <w:rsid w:val="003F169A"/>
    <w:rsid w:val="00406CEE"/>
    <w:rsid w:val="0041206B"/>
    <w:rsid w:val="004421E9"/>
    <w:rsid w:val="00446AF5"/>
    <w:rsid w:val="0045235E"/>
    <w:rsid w:val="004D0282"/>
    <w:rsid w:val="00511178"/>
    <w:rsid w:val="005B07A8"/>
    <w:rsid w:val="005B7029"/>
    <w:rsid w:val="005C203B"/>
    <w:rsid w:val="005D7814"/>
    <w:rsid w:val="005E364C"/>
    <w:rsid w:val="005E6E18"/>
    <w:rsid w:val="005F54E5"/>
    <w:rsid w:val="00606A50"/>
    <w:rsid w:val="00637445"/>
    <w:rsid w:val="006525E6"/>
    <w:rsid w:val="00653C89"/>
    <w:rsid w:val="006B03D9"/>
    <w:rsid w:val="006C2CF6"/>
    <w:rsid w:val="006D2886"/>
    <w:rsid w:val="0070259B"/>
    <w:rsid w:val="007458A0"/>
    <w:rsid w:val="007A13F0"/>
    <w:rsid w:val="007A3A73"/>
    <w:rsid w:val="007D5BE5"/>
    <w:rsid w:val="008324C3"/>
    <w:rsid w:val="0086170F"/>
    <w:rsid w:val="008A7B7F"/>
    <w:rsid w:val="008C01AE"/>
    <w:rsid w:val="009170EA"/>
    <w:rsid w:val="00926A72"/>
    <w:rsid w:val="00964391"/>
    <w:rsid w:val="00993EEC"/>
    <w:rsid w:val="009D6741"/>
    <w:rsid w:val="009D7597"/>
    <w:rsid w:val="00A13C9E"/>
    <w:rsid w:val="00A426ED"/>
    <w:rsid w:val="00AC0E0A"/>
    <w:rsid w:val="00AD4267"/>
    <w:rsid w:val="00AD7D08"/>
    <w:rsid w:val="00AE5428"/>
    <w:rsid w:val="00B301DF"/>
    <w:rsid w:val="00B47ABA"/>
    <w:rsid w:val="00B83F81"/>
    <w:rsid w:val="00BF2AAA"/>
    <w:rsid w:val="00BF4F11"/>
    <w:rsid w:val="00C00EE1"/>
    <w:rsid w:val="00C60FBA"/>
    <w:rsid w:val="00CB2524"/>
    <w:rsid w:val="00CC4929"/>
    <w:rsid w:val="00CF19EF"/>
    <w:rsid w:val="00D2057F"/>
    <w:rsid w:val="00D40A07"/>
    <w:rsid w:val="00DD00C0"/>
    <w:rsid w:val="00DD2F44"/>
    <w:rsid w:val="00E1443D"/>
    <w:rsid w:val="00E31350"/>
    <w:rsid w:val="00E50DAB"/>
    <w:rsid w:val="00E95219"/>
    <w:rsid w:val="00EA13ED"/>
    <w:rsid w:val="00EB26AE"/>
    <w:rsid w:val="00EC2A64"/>
    <w:rsid w:val="00EE4E6E"/>
    <w:rsid w:val="00EE51E5"/>
    <w:rsid w:val="00F04D47"/>
    <w:rsid w:val="00F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2DEF"/>
  <w15:docId w15:val="{B85F8BD5-21D0-4385-A6A0-853AAC31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8E6"/>
  </w:style>
  <w:style w:type="paragraph" w:styleId="Pieddepage">
    <w:name w:val="footer"/>
    <w:basedOn w:val="Normal"/>
    <w:link w:val="PieddepageCar"/>
    <w:uiPriority w:val="99"/>
    <w:unhideWhenUsed/>
    <w:rsid w:val="00F4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8E6"/>
  </w:style>
  <w:style w:type="table" w:styleId="Grilledutableau">
    <w:name w:val="Table Grid"/>
    <w:basedOn w:val="TableauNormal"/>
    <w:uiPriority w:val="59"/>
    <w:rsid w:val="005F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412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95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96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79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363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041">
          <w:marLeft w:val="547"/>
          <w:marRight w:val="0"/>
          <w:marTop w:val="12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915">
          <w:marLeft w:val="547"/>
          <w:marRight w:val="0"/>
          <w:marTop w:val="12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UNFPA GUINEA</dc:creator>
  <cp:lastModifiedBy>Nsira Drame</cp:lastModifiedBy>
  <cp:revision>2</cp:revision>
  <cp:lastPrinted>2021-11-22T16:45:00Z</cp:lastPrinted>
  <dcterms:created xsi:type="dcterms:W3CDTF">2021-11-22T23:31:00Z</dcterms:created>
  <dcterms:modified xsi:type="dcterms:W3CDTF">2021-11-22T23:31:00Z</dcterms:modified>
</cp:coreProperties>
</file>